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557A951E" w:rsidR="00D7334F" w:rsidRDefault="00E52C40" w:rsidP="00E52C40">
            <w:pPr>
              <w:jc w:val="center"/>
              <w:rPr>
                <w:sz w:val="24"/>
                <w:szCs w:val="24"/>
              </w:rPr>
            </w:pPr>
            <w:r w:rsidRPr="00E52C40">
              <w:rPr>
                <w:bCs/>
                <w:color w:val="244061"/>
                <w:sz w:val="24"/>
                <w:szCs w:val="24"/>
              </w:rPr>
              <w:t>«</w:t>
            </w:r>
            <w:r w:rsidR="00D870AE">
              <w:rPr>
                <w:bCs/>
                <w:color w:val="244061"/>
                <w:sz w:val="24"/>
                <w:szCs w:val="24"/>
              </w:rPr>
              <w:t>Перекладацька практика</w:t>
            </w:r>
            <w:r w:rsidRPr="00E52C40">
              <w:rPr>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06E48C39" w:rsidR="00D7334F" w:rsidRDefault="00E52C4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5D25E51" w:rsidR="00D7334F" w:rsidRDefault="00924839"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27DA487F" w:rsidR="00D7334F" w:rsidRDefault="00CE7422" w:rsidP="006C41BD">
            <w:pPr>
              <w:rPr>
                <w:sz w:val="24"/>
                <w:szCs w:val="24"/>
              </w:rPr>
            </w:pPr>
            <w:r>
              <w:rPr>
                <w:sz w:val="24"/>
                <w:szCs w:val="24"/>
              </w:rPr>
              <w:t>4</w:t>
            </w:r>
            <w:r w:rsidR="00A72F5B">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64BB2831" w:rsidR="00D7334F" w:rsidRDefault="00CE7422" w:rsidP="006C41BD">
            <w:pPr>
              <w:rPr>
                <w:sz w:val="24"/>
                <w:szCs w:val="24"/>
              </w:rPr>
            </w:pPr>
            <w:r>
              <w:rPr>
                <w:sz w:val="24"/>
                <w:szCs w:val="24"/>
              </w:rPr>
              <w:t xml:space="preserve">англійська, </w:t>
            </w:r>
            <w:r w:rsidR="00924839">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CE7422">
        <w:trPr>
          <w:trHeight w:val="1811"/>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45D02F1" w14:textId="77777777" w:rsidR="00924839" w:rsidRPr="00716947" w:rsidRDefault="00924839" w:rsidP="00924839">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3F46B776" w14:textId="77777777" w:rsidR="00924839" w:rsidRDefault="00924839" w:rsidP="00924839">
            <w:pPr>
              <w:ind w:right="412"/>
              <w:rPr>
                <w:color w:val="000000"/>
                <w:sz w:val="24"/>
                <w:szCs w:val="24"/>
              </w:rPr>
            </w:pPr>
            <w:proofErr w:type="spellStart"/>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proofErr w:type="spellEnd"/>
            <w:r w:rsidRPr="00716947">
              <w:rPr>
                <w:color w:val="000000"/>
                <w:sz w:val="24"/>
                <w:szCs w:val="24"/>
              </w:rPr>
              <w:t>.</w:t>
            </w:r>
            <w:r w:rsidRPr="00716947">
              <w:rPr>
                <w:color w:val="000000"/>
                <w:spacing w:val="4"/>
                <w:sz w:val="24"/>
                <w:szCs w:val="24"/>
              </w:rPr>
              <w:t xml:space="preserve"> </w:t>
            </w:r>
            <w:proofErr w:type="spellStart"/>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proofErr w:type="spellEnd"/>
            <w:r w:rsidRPr="00716947">
              <w:rPr>
                <w:color w:val="000000"/>
                <w:sz w:val="24"/>
                <w:szCs w:val="24"/>
              </w:rPr>
              <w:t>.</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16F8F087" w14:textId="77777777" w:rsidR="00924839" w:rsidRPr="00716947" w:rsidRDefault="00924839" w:rsidP="00924839">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67302988" w14:textId="77777777" w:rsidR="00924839" w:rsidRDefault="00924839" w:rsidP="00924839">
            <w:pPr>
              <w:rPr>
                <w:color w:val="000000"/>
                <w:sz w:val="24"/>
                <w:szCs w:val="24"/>
              </w:rPr>
            </w:pPr>
            <w:r w:rsidRPr="006C41BD">
              <w:rPr>
                <w:color w:val="000000"/>
                <w:spacing w:val="3"/>
                <w:sz w:val="24"/>
                <w:szCs w:val="24"/>
              </w:rPr>
              <w:t>a.v.bezrukov@ust.edu.ua</w:t>
            </w:r>
          </w:p>
          <w:p w14:paraId="3DB632FA" w14:textId="77777777" w:rsidR="00924839" w:rsidRDefault="00924839" w:rsidP="00924839">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proofErr w:type="spellStart"/>
            <w:r w:rsidRPr="006C41BD">
              <w:rPr>
                <w:color w:val="000000"/>
                <w:spacing w:val="3"/>
                <w:sz w:val="24"/>
                <w:szCs w:val="24"/>
                <w:lang w:val="en-US"/>
              </w:rPr>
              <w:t>ust</w:t>
            </w:r>
            <w:proofErr w:type="spellEnd"/>
            <w:r w:rsidRPr="006C41BD">
              <w:rPr>
                <w:color w:val="000000"/>
                <w:spacing w:val="3"/>
                <w:sz w:val="24"/>
                <w:szCs w:val="24"/>
              </w:rPr>
              <w:t>.</w:t>
            </w:r>
            <w:proofErr w:type="spellStart"/>
            <w:r w:rsidRPr="006C41BD">
              <w:rPr>
                <w:color w:val="000000"/>
                <w:spacing w:val="3"/>
                <w:sz w:val="24"/>
                <w:szCs w:val="24"/>
                <w:lang w:val="en-US"/>
              </w:rPr>
              <w:t>edu</w:t>
            </w:r>
            <w:proofErr w:type="spellEnd"/>
            <w:r w:rsidRPr="006C41BD">
              <w:rPr>
                <w:color w:val="000000"/>
                <w:spacing w:val="3"/>
                <w:sz w:val="24"/>
                <w:szCs w:val="24"/>
              </w:rPr>
              <w:t>.</w:t>
            </w:r>
            <w:proofErr w:type="spellStart"/>
            <w:r w:rsidRPr="006C41BD">
              <w:rPr>
                <w:color w:val="000000"/>
                <w:spacing w:val="3"/>
                <w:sz w:val="24"/>
                <w:szCs w:val="24"/>
                <w:lang w:val="en-US"/>
              </w:rPr>
              <w:t>ua</w:t>
            </w:r>
            <w:proofErr w:type="spellEnd"/>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proofErr w:type="spellStart"/>
            <w:r w:rsidRPr="006C41BD">
              <w:rPr>
                <w:color w:val="000000"/>
                <w:spacing w:val="3"/>
                <w:sz w:val="24"/>
                <w:szCs w:val="24"/>
                <w:lang w:val="en-US"/>
              </w:rPr>
              <w:t>emt</w:t>
            </w:r>
            <w:proofErr w:type="spellEnd"/>
            <w:r w:rsidRPr="006C41BD">
              <w:rPr>
                <w:color w:val="000000"/>
                <w:spacing w:val="3"/>
                <w:sz w:val="24"/>
                <w:szCs w:val="24"/>
              </w:rPr>
              <w:t>/</w:t>
            </w:r>
            <w:proofErr w:type="spellStart"/>
            <w:r w:rsidRPr="006C41BD">
              <w:rPr>
                <w:color w:val="000000"/>
                <w:spacing w:val="3"/>
                <w:sz w:val="24"/>
                <w:szCs w:val="24"/>
                <w:lang w:val="en-US"/>
              </w:rPr>
              <w:t>kafedra</w:t>
            </w:r>
            <w:proofErr w:type="spellEnd"/>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proofErr w:type="spellStart"/>
            <w:r w:rsidRPr="006C41BD">
              <w:rPr>
                <w:color w:val="000000"/>
                <w:spacing w:val="3"/>
                <w:sz w:val="24"/>
                <w:szCs w:val="24"/>
                <w:lang w:val="en-US"/>
              </w:rPr>
              <w:t>sostav</w:t>
            </w:r>
            <w:proofErr w:type="spellEnd"/>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B7222A7" w14:textId="4A9B0A94" w:rsidR="00D13E18" w:rsidRPr="00D13E18" w:rsidRDefault="00924839" w:rsidP="00924839">
            <w:pPr>
              <w:ind w:right="-20"/>
              <w:rPr>
                <w:color w:val="000000"/>
                <w:spacing w:val="3"/>
                <w:sz w:val="24"/>
                <w:szCs w:val="24"/>
              </w:rPr>
            </w:pPr>
            <w:r>
              <w:rPr>
                <w:color w:val="000000"/>
                <w:spacing w:val="3"/>
                <w:sz w:val="24"/>
                <w:szCs w:val="24"/>
              </w:rPr>
              <w:t xml:space="preserve">УДУНТ, вул. Лазаряна, 2, </w:t>
            </w:r>
            <w:proofErr w:type="spellStart"/>
            <w:r>
              <w:rPr>
                <w:color w:val="000000"/>
                <w:spacing w:val="3"/>
                <w:sz w:val="24"/>
                <w:szCs w:val="24"/>
              </w:rPr>
              <w:t>ауд</w:t>
            </w:r>
            <w:proofErr w:type="spellEnd"/>
            <w:r>
              <w:rPr>
                <w:color w:val="000000"/>
                <w:spacing w:val="3"/>
                <w:sz w:val="24"/>
                <w:szCs w:val="24"/>
              </w:rPr>
              <w:t>.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3B6A8A8E" w14:textId="77777777" w:rsidR="00AB4410" w:rsidRDefault="00D870AE" w:rsidP="00CB1B31">
            <w:pPr>
              <w:pStyle w:val="a8"/>
              <w:rPr>
                <w:color w:val="000000" w:themeColor="text1"/>
              </w:rPr>
            </w:pPr>
            <w:r w:rsidRPr="00444119">
              <w:rPr>
                <w:color w:val="000000" w:themeColor="text1"/>
              </w:rPr>
              <w:t>Практичний курс основної іноземної мови (англійська)</w:t>
            </w:r>
          </w:p>
          <w:p w14:paraId="7C0D470F" w14:textId="77777777" w:rsidR="00D870AE" w:rsidRDefault="00D870AE" w:rsidP="00CB1B31">
            <w:pPr>
              <w:pStyle w:val="a8"/>
              <w:rPr>
                <w:color w:val="000000" w:themeColor="text1"/>
              </w:rPr>
            </w:pPr>
            <w:r w:rsidRPr="00444119">
              <w:rPr>
                <w:color w:val="000000" w:themeColor="text1"/>
              </w:rPr>
              <w:t>Вступ до перекладознавства</w:t>
            </w:r>
          </w:p>
          <w:p w14:paraId="6421BDE7" w14:textId="77777777" w:rsidR="00D870AE" w:rsidRDefault="00D870AE" w:rsidP="00CB1B31">
            <w:pPr>
              <w:pStyle w:val="a8"/>
              <w:rPr>
                <w:color w:val="000000" w:themeColor="text1"/>
              </w:rPr>
            </w:pPr>
            <w:r w:rsidRPr="00444119">
              <w:rPr>
                <w:color w:val="000000" w:themeColor="text1"/>
              </w:rPr>
              <w:t>Практика перекладу з основної іноземної мови (англійська)</w:t>
            </w:r>
          </w:p>
          <w:p w14:paraId="29EBEFA4" w14:textId="77777777" w:rsidR="00D870AE" w:rsidRDefault="00D870AE" w:rsidP="00CB1B31">
            <w:pPr>
              <w:pStyle w:val="a8"/>
            </w:pPr>
            <w:r>
              <w:t>Навчальна практика</w:t>
            </w:r>
          </w:p>
          <w:p w14:paraId="1E0F5849" w14:textId="15518F32" w:rsidR="00D870AE" w:rsidRPr="00CB1B31" w:rsidRDefault="00D870AE" w:rsidP="00CB1B31">
            <w:pPr>
              <w:pStyle w:val="a8"/>
            </w:pPr>
            <w:r w:rsidRPr="00D870AE">
              <w:t>Основи інформатики та прикладної лінгвістики</w:t>
            </w:r>
            <w:r>
              <w:t> </w:t>
            </w:r>
            <w:r w:rsidRPr="00D870AE">
              <w:t>/</w:t>
            </w:r>
            <w:r>
              <w:t xml:space="preserve"> </w:t>
            </w:r>
            <w:r w:rsidRPr="00D870AE">
              <w:t>Прикладна лінгвістика та сучасні проблеми перекладознавства</w:t>
            </w:r>
            <w:r>
              <w:t xml:space="preserve"> </w:t>
            </w:r>
            <w:r w:rsidRPr="00D870AE">
              <w:t>/</w:t>
            </w:r>
            <w:r>
              <w:t xml:space="preserve"> </w:t>
            </w:r>
            <w:r w:rsidRPr="00D870AE">
              <w:t xml:space="preserve">Основи </w:t>
            </w:r>
            <w:proofErr w:type="spellStart"/>
            <w:r w:rsidRPr="00D870AE">
              <w:t>прагмалінгвістики</w:t>
            </w:r>
            <w:proofErr w:type="spellEnd"/>
            <w:r w:rsidRPr="00D870AE">
              <w:t xml:space="preserve"> і переклад</w:t>
            </w:r>
            <w:r>
              <w:t xml:space="preserve"> </w:t>
            </w:r>
            <w:r w:rsidRPr="00D870AE">
              <w:t>/</w:t>
            </w:r>
            <w:r>
              <w:t xml:space="preserve"> </w:t>
            </w:r>
            <w:r w:rsidRPr="00D870AE">
              <w:t xml:space="preserve">Інформатизація </w:t>
            </w:r>
            <w:proofErr w:type="spellStart"/>
            <w:r w:rsidRPr="00D870AE">
              <w:t>мовної</w:t>
            </w:r>
            <w:proofErr w:type="spellEnd"/>
            <w:r w:rsidRPr="00D870AE">
              <w:t xml:space="preserve"> освіти</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1A868C9C" w:rsidR="00D7334F" w:rsidRPr="00CE7422" w:rsidRDefault="00CE7422" w:rsidP="00CE7422">
            <w:pPr>
              <w:jc w:val="both"/>
              <w:rPr>
                <w:sz w:val="28"/>
                <w:szCs w:val="28"/>
              </w:rPr>
            </w:pPr>
            <w:r w:rsidRPr="00CE7422">
              <w:rPr>
                <w:i/>
                <w:sz w:val="24"/>
                <w:szCs w:val="24"/>
              </w:rPr>
              <w:t>Метою</w:t>
            </w:r>
            <w:r w:rsidRPr="00CE7422">
              <w:rPr>
                <w:sz w:val="24"/>
                <w:szCs w:val="24"/>
              </w:rPr>
              <w:t xml:space="preserve"> </w:t>
            </w:r>
            <w:r w:rsidR="00D870AE">
              <w:rPr>
                <w:sz w:val="24"/>
                <w:szCs w:val="24"/>
              </w:rPr>
              <w:t xml:space="preserve">практики </w:t>
            </w:r>
            <w:r w:rsidRPr="00CE7422">
              <w:rPr>
                <w:sz w:val="24"/>
                <w:szCs w:val="24"/>
              </w:rPr>
              <w:t xml:space="preserve">є набуття студентами практичних навичок та умінь адекватного перекладу </w:t>
            </w:r>
            <w:r w:rsidR="00D870AE">
              <w:rPr>
                <w:sz w:val="24"/>
                <w:szCs w:val="24"/>
              </w:rPr>
              <w:t xml:space="preserve">спеціалізованої літератури </w:t>
            </w:r>
            <w:r w:rsidRPr="00CE7422">
              <w:rPr>
                <w:sz w:val="24"/>
                <w:szCs w:val="24"/>
              </w:rPr>
              <w:t xml:space="preserve">і </w:t>
            </w:r>
            <w:r w:rsidR="00D870AE">
              <w:rPr>
                <w:sz w:val="24"/>
                <w:szCs w:val="24"/>
              </w:rPr>
              <w:t xml:space="preserve">науково-технічної </w:t>
            </w:r>
            <w:r w:rsidRPr="00CE7422">
              <w:rPr>
                <w:sz w:val="24"/>
                <w:szCs w:val="24"/>
              </w:rPr>
              <w:t>документації.</w:t>
            </w:r>
          </w:p>
        </w:tc>
      </w:tr>
      <w:tr w:rsidR="007635B0" w14:paraId="3373C0CE" w14:textId="77777777" w:rsidTr="002076C2">
        <w:tc>
          <w:tcPr>
            <w:tcW w:w="3397" w:type="dxa"/>
          </w:tcPr>
          <w:p w14:paraId="775A4770" w14:textId="0C55A5F9" w:rsidR="007635B0" w:rsidRDefault="007635B0" w:rsidP="006C41BD">
            <w:pPr>
              <w:rPr>
                <w:b/>
                <w:color w:val="244061"/>
                <w:sz w:val="24"/>
                <w:szCs w:val="24"/>
              </w:rPr>
            </w:pPr>
            <w:r>
              <w:rPr>
                <w:b/>
                <w:color w:val="244061"/>
                <w:sz w:val="24"/>
                <w:szCs w:val="24"/>
              </w:rPr>
              <w:t>Програмні результати навчання</w:t>
            </w:r>
          </w:p>
        </w:tc>
        <w:tc>
          <w:tcPr>
            <w:tcW w:w="5954" w:type="dxa"/>
          </w:tcPr>
          <w:p w14:paraId="4CCD0365" w14:textId="77777777" w:rsidR="007635B0" w:rsidRPr="00743D55" w:rsidRDefault="007635B0" w:rsidP="007635B0">
            <w:pPr>
              <w:jc w:val="both"/>
              <w:rPr>
                <w:sz w:val="24"/>
                <w:szCs w:val="24"/>
              </w:rPr>
            </w:pPr>
            <w:r w:rsidRPr="00743D55">
              <w:rPr>
                <w:sz w:val="24"/>
                <w:szCs w:val="24"/>
              </w:rPr>
              <w:t>ПРН 1. Вільно спілкуватися з професійних питань із фахівцями та нефахівцями державною та іноземною(</w:t>
            </w:r>
            <w:proofErr w:type="spellStart"/>
            <w:r w:rsidRPr="00743D55">
              <w:rPr>
                <w:sz w:val="24"/>
                <w:szCs w:val="24"/>
              </w:rPr>
              <w:t>ими</w:t>
            </w:r>
            <w:proofErr w:type="spellEnd"/>
            <w:r w:rsidRPr="00743D55">
              <w:rPr>
                <w:sz w:val="24"/>
                <w:szCs w:val="24"/>
              </w:rPr>
              <w:t xml:space="preserve">) мовами усно й письмово, використовувати їх для організації ефективної міжкультурної комунікації. </w:t>
            </w:r>
          </w:p>
          <w:p w14:paraId="70080D89" w14:textId="77777777" w:rsidR="007635B0" w:rsidRPr="00743D55" w:rsidRDefault="007635B0" w:rsidP="007635B0">
            <w:pPr>
              <w:jc w:val="both"/>
              <w:rPr>
                <w:sz w:val="24"/>
                <w:szCs w:val="24"/>
              </w:rPr>
            </w:pPr>
            <w:r w:rsidRPr="00743D55">
              <w:rPr>
                <w:sz w:val="24"/>
                <w:szCs w:val="24"/>
              </w:rPr>
              <w:t xml:space="preserve">ПРН 2. Ефективно працювати з інформацією: добирати необхідну інформацію з різних джерел, зокрема з фахової літератури та електронних баз, критично </w:t>
            </w:r>
            <w:r w:rsidRPr="00743D55">
              <w:rPr>
                <w:sz w:val="24"/>
                <w:szCs w:val="24"/>
              </w:rPr>
              <w:lastRenderedPageBreak/>
              <w:t>аналізувати й інтерпретувати її, впорядковувати, класифікувати й систематизувати.</w:t>
            </w:r>
          </w:p>
          <w:p w14:paraId="7FFC246C" w14:textId="77777777" w:rsidR="007635B0" w:rsidRPr="00743D55" w:rsidRDefault="007635B0" w:rsidP="007635B0">
            <w:pPr>
              <w:jc w:val="both"/>
              <w:rPr>
                <w:sz w:val="24"/>
                <w:szCs w:val="24"/>
              </w:rPr>
            </w:pPr>
            <w:r w:rsidRPr="00743D55">
              <w:rPr>
                <w:sz w:val="24"/>
                <w:szCs w:val="24"/>
              </w:rPr>
              <w:t>ПРН</w:t>
            </w:r>
            <w:r>
              <w:rPr>
                <w:sz w:val="24"/>
                <w:szCs w:val="24"/>
              </w:rPr>
              <w:t> </w:t>
            </w:r>
            <w:r w:rsidRPr="00743D55">
              <w:rPr>
                <w:sz w:val="24"/>
                <w:szCs w:val="24"/>
              </w:rPr>
              <w:t>3. Організовувати процес свого навчання й самоосвіти.</w:t>
            </w:r>
          </w:p>
          <w:p w14:paraId="070E338E" w14:textId="77777777" w:rsidR="007635B0" w:rsidRPr="00743D55" w:rsidRDefault="007635B0" w:rsidP="007635B0">
            <w:pPr>
              <w:jc w:val="both"/>
              <w:rPr>
                <w:sz w:val="24"/>
                <w:szCs w:val="24"/>
              </w:rPr>
            </w:pPr>
            <w:r w:rsidRPr="00743D55">
              <w:rPr>
                <w:sz w:val="24"/>
                <w:szCs w:val="24"/>
              </w:rPr>
              <w:t>ПРН 5. Співпрацювати з колегами, представниками інших культур та релігій, прибічниками різних політичних поглядів тощо.</w:t>
            </w:r>
          </w:p>
          <w:p w14:paraId="46DC8CDA" w14:textId="77777777" w:rsidR="007635B0" w:rsidRPr="00743D55" w:rsidRDefault="007635B0" w:rsidP="007635B0">
            <w:pPr>
              <w:jc w:val="both"/>
              <w:rPr>
                <w:sz w:val="24"/>
                <w:szCs w:val="24"/>
              </w:rPr>
            </w:pPr>
            <w:r w:rsidRPr="00743D55">
              <w:rPr>
                <w:sz w:val="24"/>
                <w:szCs w:val="24"/>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14:paraId="16145EDD" w14:textId="77777777" w:rsidR="007635B0" w:rsidRPr="00743D55" w:rsidRDefault="007635B0" w:rsidP="007635B0">
            <w:pPr>
              <w:pStyle w:val="a8"/>
            </w:pPr>
            <w:r w:rsidRPr="00743D55">
              <w:t>ПРН</w:t>
            </w:r>
            <w:r>
              <w:t> </w:t>
            </w:r>
            <w:r w:rsidRPr="00743D55">
              <w:t xml:space="preserve">11. Знати принципи, технології і прийоми створення усних і письмових текстів різних жанрів і стилів державною та іноземною (іноземними) мовами. </w:t>
            </w:r>
          </w:p>
          <w:p w14:paraId="26880BB2" w14:textId="77777777" w:rsidR="007635B0" w:rsidRPr="00743D55" w:rsidRDefault="007635B0" w:rsidP="007635B0">
            <w:pPr>
              <w:jc w:val="both"/>
              <w:rPr>
                <w:sz w:val="24"/>
                <w:szCs w:val="24"/>
              </w:rPr>
            </w:pPr>
            <w:r w:rsidRPr="00743D55">
              <w:rPr>
                <w:sz w:val="24"/>
                <w:szCs w:val="24"/>
              </w:rPr>
              <w:t xml:space="preserve">ПРН 15. Здійснювати лінгвістичний, літературознавчий та спеціальний філологічний аналіз текстів різних стилів і жанрів. </w:t>
            </w:r>
          </w:p>
          <w:p w14:paraId="4C35631C" w14:textId="77777777" w:rsidR="007635B0" w:rsidRPr="00743D55" w:rsidRDefault="007635B0" w:rsidP="007635B0">
            <w:pPr>
              <w:pStyle w:val="af2"/>
              <w:spacing w:after="0"/>
              <w:ind w:left="0"/>
              <w:rPr>
                <w:sz w:val="24"/>
                <w:szCs w:val="24"/>
              </w:rPr>
            </w:pPr>
            <w:r w:rsidRPr="00743D55">
              <w:rPr>
                <w:sz w:val="24"/>
                <w:szCs w:val="24"/>
              </w:rPr>
              <w:t xml:space="preserve">ПРН 16. Знати й розуміти основні поняття, теорії та концепції обраної філологічної спеціалізації: мовознавства, літературознавства, перекладознавства, прикладної лінгвістики; уміти застосовувати їх у професійній діяльності. </w:t>
            </w:r>
          </w:p>
          <w:p w14:paraId="372812E6" w14:textId="77777777" w:rsidR="007635B0" w:rsidRPr="00743D55" w:rsidRDefault="007635B0" w:rsidP="007635B0">
            <w:pPr>
              <w:jc w:val="both"/>
              <w:rPr>
                <w:sz w:val="24"/>
                <w:szCs w:val="24"/>
              </w:rPr>
            </w:pPr>
            <w:r w:rsidRPr="00743D55">
              <w:rPr>
                <w:sz w:val="24"/>
                <w:szCs w:val="24"/>
              </w:rPr>
              <w:t>ПРН 21. Інтерпретувати й перекладати тексти різних стилів і жанрів.</w:t>
            </w:r>
          </w:p>
          <w:p w14:paraId="1769C059" w14:textId="77777777" w:rsidR="007635B0" w:rsidRPr="00743D55" w:rsidRDefault="007635B0" w:rsidP="007635B0">
            <w:pPr>
              <w:jc w:val="both"/>
              <w:rPr>
                <w:sz w:val="24"/>
                <w:szCs w:val="24"/>
              </w:rPr>
            </w:pPr>
            <w:r w:rsidRPr="00743D55">
              <w:rPr>
                <w:sz w:val="24"/>
                <w:szCs w:val="24"/>
              </w:rPr>
              <w:t>ПРН 22. Знати і розуміти процеси освіти, навчання і виховання.</w:t>
            </w:r>
          </w:p>
          <w:p w14:paraId="5D7382F4" w14:textId="4F04D20D" w:rsidR="007635B0" w:rsidRPr="00CE7422" w:rsidRDefault="007635B0" w:rsidP="007635B0">
            <w:pPr>
              <w:jc w:val="both"/>
              <w:rPr>
                <w:i/>
                <w:sz w:val="24"/>
                <w:szCs w:val="24"/>
              </w:rPr>
            </w:pPr>
            <w:r w:rsidRPr="00743D55">
              <w:rPr>
                <w:sz w:val="24"/>
                <w:szCs w:val="24"/>
              </w:rPr>
              <w:t>ПРН 23. Мати наукові знання, уміння і навички, які забезпечують всебічний розвиток розумових здібностей студентів; формувати світогляд, духовність, поведінку, усвідомлення свого обов’язку і відповідальності; готувати до трудової діяльності.</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47BF93BB" w14:textId="7E21B6A4" w:rsidR="00D7334F" w:rsidRPr="00CE7422" w:rsidRDefault="00CE7422" w:rsidP="008200D6">
            <w:pPr>
              <w:pStyle w:val="2"/>
              <w:rPr>
                <w:i/>
                <w:iCs/>
              </w:rPr>
            </w:pPr>
            <w:r w:rsidRPr="00CE7422">
              <w:rPr>
                <w:i/>
                <w:iCs/>
              </w:rPr>
              <w:t>Практичні заняття</w:t>
            </w:r>
          </w:p>
          <w:p w14:paraId="105F503D" w14:textId="77777777" w:rsidR="00D870AE" w:rsidRDefault="00D870AE" w:rsidP="00CE7422">
            <w:pPr>
              <w:jc w:val="both"/>
              <w:rPr>
                <w:sz w:val="24"/>
                <w:szCs w:val="24"/>
              </w:rPr>
            </w:pPr>
            <w:r w:rsidRPr="00D870AE">
              <w:rPr>
                <w:sz w:val="24"/>
                <w:szCs w:val="24"/>
              </w:rPr>
              <w:t xml:space="preserve">Вступне заняття. </w:t>
            </w:r>
          </w:p>
          <w:p w14:paraId="1A039CF5" w14:textId="2DD5CA4F" w:rsidR="00D870AE" w:rsidRDefault="00D870AE" w:rsidP="00CE7422">
            <w:pPr>
              <w:jc w:val="both"/>
              <w:rPr>
                <w:sz w:val="24"/>
                <w:szCs w:val="24"/>
              </w:rPr>
            </w:pPr>
            <w:r w:rsidRPr="00D870AE">
              <w:rPr>
                <w:sz w:val="24"/>
                <w:szCs w:val="24"/>
              </w:rPr>
              <w:t xml:space="preserve">Цілі та </w:t>
            </w:r>
            <w:r>
              <w:rPr>
                <w:sz w:val="24"/>
                <w:szCs w:val="24"/>
              </w:rPr>
              <w:t>завдання</w:t>
            </w:r>
            <w:r w:rsidRPr="00D870AE">
              <w:rPr>
                <w:sz w:val="24"/>
                <w:szCs w:val="24"/>
              </w:rPr>
              <w:t xml:space="preserve"> практики.  </w:t>
            </w:r>
          </w:p>
          <w:p w14:paraId="22A21310" w14:textId="77777777" w:rsidR="00D870AE" w:rsidRDefault="00D870AE" w:rsidP="00CE7422">
            <w:pPr>
              <w:jc w:val="both"/>
              <w:rPr>
                <w:sz w:val="24"/>
                <w:szCs w:val="24"/>
              </w:rPr>
            </w:pPr>
            <w:r w:rsidRPr="00D870AE">
              <w:rPr>
                <w:sz w:val="24"/>
                <w:szCs w:val="24"/>
              </w:rPr>
              <w:t xml:space="preserve">Інструктаж з проходження практики і ТБ. </w:t>
            </w:r>
          </w:p>
          <w:p w14:paraId="350D577C" w14:textId="4AED191F" w:rsidR="00D870AE" w:rsidRDefault="00D870AE" w:rsidP="00CE7422">
            <w:pPr>
              <w:jc w:val="both"/>
              <w:rPr>
                <w:sz w:val="24"/>
                <w:szCs w:val="24"/>
              </w:rPr>
            </w:pPr>
            <w:r w:rsidRPr="00D870AE">
              <w:rPr>
                <w:sz w:val="24"/>
                <w:szCs w:val="24"/>
              </w:rPr>
              <w:t xml:space="preserve">Методика роботи з </w:t>
            </w:r>
            <w:proofErr w:type="spellStart"/>
            <w:r>
              <w:rPr>
                <w:sz w:val="24"/>
                <w:szCs w:val="24"/>
              </w:rPr>
              <w:t>англійськомовними</w:t>
            </w:r>
            <w:proofErr w:type="spellEnd"/>
            <w:r w:rsidRPr="00D870AE">
              <w:rPr>
                <w:sz w:val="24"/>
                <w:szCs w:val="24"/>
              </w:rPr>
              <w:t xml:space="preserve"> текстами. </w:t>
            </w:r>
          </w:p>
          <w:p w14:paraId="1233A07B" w14:textId="77777777" w:rsidR="00D870AE" w:rsidRDefault="00D870AE" w:rsidP="00CE7422">
            <w:pPr>
              <w:jc w:val="both"/>
              <w:rPr>
                <w:sz w:val="24"/>
                <w:szCs w:val="24"/>
              </w:rPr>
            </w:pPr>
            <w:r w:rsidRPr="00D870AE">
              <w:rPr>
                <w:sz w:val="24"/>
                <w:szCs w:val="24"/>
              </w:rPr>
              <w:t xml:space="preserve">Переклад як акт міжмовної комунікації. </w:t>
            </w:r>
          </w:p>
          <w:p w14:paraId="5B47F9E0" w14:textId="77777777" w:rsidR="00D870AE" w:rsidRDefault="00D870AE" w:rsidP="00CE7422">
            <w:pPr>
              <w:jc w:val="both"/>
              <w:rPr>
                <w:sz w:val="24"/>
                <w:szCs w:val="24"/>
              </w:rPr>
            </w:pPr>
            <w:r w:rsidRPr="00D870AE">
              <w:rPr>
                <w:sz w:val="24"/>
                <w:szCs w:val="24"/>
              </w:rPr>
              <w:t xml:space="preserve">Семантика і переклад. </w:t>
            </w:r>
          </w:p>
          <w:p w14:paraId="7852FFCC" w14:textId="77777777" w:rsidR="00D870AE" w:rsidRDefault="00D870AE" w:rsidP="00CE7422">
            <w:pPr>
              <w:jc w:val="both"/>
              <w:rPr>
                <w:sz w:val="24"/>
                <w:szCs w:val="24"/>
              </w:rPr>
            </w:pPr>
            <w:r w:rsidRPr="00D870AE">
              <w:rPr>
                <w:sz w:val="24"/>
                <w:szCs w:val="24"/>
              </w:rPr>
              <w:t xml:space="preserve">Перекладацькі трансформації.  </w:t>
            </w:r>
          </w:p>
          <w:p w14:paraId="736A7FC5" w14:textId="77777777" w:rsidR="00D870AE" w:rsidRDefault="00D870AE" w:rsidP="00CE7422">
            <w:pPr>
              <w:jc w:val="both"/>
              <w:rPr>
                <w:sz w:val="24"/>
                <w:szCs w:val="24"/>
              </w:rPr>
            </w:pPr>
            <w:r w:rsidRPr="00D870AE">
              <w:rPr>
                <w:sz w:val="24"/>
                <w:szCs w:val="24"/>
              </w:rPr>
              <w:t>Специфіка перекладу науково-технічних текстів.</w:t>
            </w:r>
          </w:p>
          <w:p w14:paraId="47DE0959" w14:textId="3CF26E53" w:rsidR="00D870AE" w:rsidRDefault="00D870AE" w:rsidP="00CE7422">
            <w:pPr>
              <w:jc w:val="both"/>
              <w:rPr>
                <w:sz w:val="24"/>
                <w:szCs w:val="24"/>
              </w:rPr>
            </w:pPr>
            <w:r w:rsidRPr="00D870AE">
              <w:rPr>
                <w:sz w:val="24"/>
                <w:szCs w:val="24"/>
              </w:rPr>
              <w:t>Специфіка перекладу публіцистичних текстів.</w:t>
            </w:r>
          </w:p>
          <w:p w14:paraId="1DC94DCC" w14:textId="77777777" w:rsidR="00D870AE" w:rsidRDefault="00D870AE" w:rsidP="00CE7422">
            <w:pPr>
              <w:jc w:val="both"/>
              <w:rPr>
                <w:sz w:val="24"/>
                <w:szCs w:val="24"/>
              </w:rPr>
            </w:pPr>
            <w:r w:rsidRPr="00D870AE">
              <w:rPr>
                <w:sz w:val="24"/>
                <w:szCs w:val="24"/>
              </w:rPr>
              <w:t xml:space="preserve">Складання термінологічного словника. </w:t>
            </w:r>
          </w:p>
          <w:p w14:paraId="40A9EBF7" w14:textId="3B7F4D67" w:rsidR="00CE7422" w:rsidRPr="008200D6" w:rsidRDefault="00D870AE" w:rsidP="00CE7422">
            <w:pPr>
              <w:jc w:val="both"/>
              <w:rPr>
                <w:sz w:val="24"/>
                <w:szCs w:val="24"/>
              </w:rPr>
            </w:pPr>
            <w:r w:rsidRPr="00D870AE">
              <w:rPr>
                <w:sz w:val="24"/>
                <w:szCs w:val="24"/>
              </w:rPr>
              <w:t>Написання звіту з перекладацької практики.</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77F10E5E" w14:textId="77777777" w:rsidR="00CE7422" w:rsidRPr="00CE7422" w:rsidRDefault="00CE7422" w:rsidP="00CE7422">
            <w:pPr>
              <w:pStyle w:val="a8"/>
            </w:pPr>
            <w:r w:rsidRPr="00CE7422">
              <w:t xml:space="preserve">Поточний контроль за ходом практики, виконанням отриманих завдань проводиться протягом усього терміну проходження практики у вигляді опитування (усно чи письмово), складання спеціальної лексики, перевірки спеціальних вправ, індивідуального завдання. </w:t>
            </w:r>
          </w:p>
          <w:p w14:paraId="75C111E6" w14:textId="77777777" w:rsidR="00CE7422" w:rsidRPr="00CE7422" w:rsidRDefault="00CE7422" w:rsidP="00CE7422">
            <w:pPr>
              <w:jc w:val="both"/>
              <w:rPr>
                <w:sz w:val="24"/>
                <w:szCs w:val="24"/>
              </w:rPr>
            </w:pPr>
            <w:r w:rsidRPr="00CE7422">
              <w:rPr>
                <w:sz w:val="24"/>
                <w:szCs w:val="24"/>
              </w:rPr>
              <w:t xml:space="preserve">У разі проходження практики не на базі університету керівник практики від кафедри контролює своєчасність прибуття студентів на практику шляхом отримання оформлених бланків повідомлень, шляхом відвідування баз практики або через керівника практики від </w:t>
            </w:r>
            <w:r w:rsidRPr="00CE7422">
              <w:rPr>
                <w:sz w:val="24"/>
                <w:szCs w:val="24"/>
              </w:rPr>
              <w:lastRenderedPageBreak/>
              <w:t xml:space="preserve">відповідної бази, стежить за дотриманням умов договору на проведення виробничої практики, знаходження студентів на місцях практики, через постійний зв’язок зі студентами контролюють хід виконання програми практики та індивідуального завдання та ведення щоденника, надає допомогу. </w:t>
            </w:r>
          </w:p>
          <w:p w14:paraId="305D0A9E" w14:textId="77777777" w:rsidR="00B02574" w:rsidRDefault="00CE7422" w:rsidP="00CE7422">
            <w:pPr>
              <w:jc w:val="both"/>
              <w:rPr>
                <w:sz w:val="24"/>
                <w:szCs w:val="24"/>
              </w:rPr>
            </w:pPr>
            <w:r w:rsidRPr="00CE7422">
              <w:rPr>
                <w:sz w:val="24"/>
                <w:szCs w:val="24"/>
              </w:rPr>
              <w:t>Керівник від бази практики слідкує за дотриманням студентами правил охорони праці, техніки безпеки, виробничої санітарії та внутрішнього трудового розпорядку, виконанням календарного графіку проходження практики, у разі необхідності інформує університет про випадки порушення студентами умов договору.</w:t>
            </w:r>
          </w:p>
          <w:p w14:paraId="7C6D0EEF" w14:textId="77777777" w:rsidR="00CE7422" w:rsidRPr="00CE7422" w:rsidRDefault="00CE7422" w:rsidP="00CE7422">
            <w:pPr>
              <w:pStyle w:val="21"/>
            </w:pPr>
            <w:r w:rsidRPr="00CE7422">
              <w:t>Після закінчення практики студенти звітують про виконання програми та індивідуального завдання. Формою звітності студента є подання та захист звіту про практику з відгуком керівника практики від бази практики (у разі проходження практики поза університетом). Звіт разом подається на рецензування керівнику практики від кафедри. Після доопрацювання та остаточного погодження з керівником практики звіт в друкованому вигляді подається на захист.</w:t>
            </w:r>
          </w:p>
          <w:p w14:paraId="7EE2E839"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Звіт з виробничої практики захищається студентом перед комісією, призначеною завідувачем випускової кафедри. До складу комісії входять, як правило, керівники практики від кафедри, науково-педагогічні працівники,  а також можуть залучатися керівники від баз практики та/або </w:t>
            </w:r>
            <w:proofErr w:type="spellStart"/>
            <w:r w:rsidRPr="00CE7422">
              <w:rPr>
                <w:rFonts w:eastAsia="MS Mincho"/>
                <w:sz w:val="24"/>
                <w:szCs w:val="24"/>
              </w:rPr>
              <w:t>стейкхолдери</w:t>
            </w:r>
            <w:proofErr w:type="spellEnd"/>
            <w:r w:rsidRPr="00CE7422">
              <w:rPr>
                <w:rFonts w:eastAsia="MS Mincho"/>
                <w:sz w:val="24"/>
                <w:szCs w:val="24"/>
              </w:rPr>
              <w:t xml:space="preserve">. </w:t>
            </w:r>
          </w:p>
          <w:p w14:paraId="61F3C738"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Комісія може приймати звіти у студентів на базі практики в останні дні її проходження або на кафедрі після її завершення, але не пізніше  другого тижня семестру, що наступає після практики. </w:t>
            </w:r>
          </w:p>
          <w:p w14:paraId="602E9A91" w14:textId="77777777" w:rsidR="00CE7422" w:rsidRPr="00CE7422" w:rsidRDefault="00CE7422" w:rsidP="00CE7422">
            <w:pPr>
              <w:ind w:right="57"/>
              <w:jc w:val="both"/>
              <w:rPr>
                <w:rFonts w:eastAsia="MS Mincho"/>
                <w:sz w:val="24"/>
                <w:szCs w:val="24"/>
              </w:rPr>
            </w:pPr>
            <w:r w:rsidRPr="00CE7422">
              <w:rPr>
                <w:rFonts w:eastAsia="MS Mincho"/>
                <w:sz w:val="24"/>
                <w:szCs w:val="24"/>
              </w:rPr>
              <w:t>За результатами звіту проводиться залік з практики. Результат заліку вноситься до залікової відомості та до індивідуального плану (залікової книжки) студента за підписом голови комісії (керівника практики від кафедри) і враховується при визначенні рейтингу студента і призначенні академічної стипендії.</w:t>
            </w:r>
          </w:p>
          <w:p w14:paraId="76EC83BD"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Студенту, який не виконав програму практики або отримав незадовільний відгук керівника від бази практики, рішенням завідувача випускової кафедри може бути надана можливість повторного проходження практики у вільний від навчання час. Порядок та терміни проходження практики, у цих випадках,  визначаються окремим наказом.</w:t>
            </w:r>
          </w:p>
          <w:p w14:paraId="6A86EC68"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 який отримав негативну оцінку вдруге відраховується з університету.</w:t>
            </w:r>
          </w:p>
          <w:p w14:paraId="552850A2" w14:textId="77777777" w:rsidR="00CE7422" w:rsidRPr="00CE7422" w:rsidRDefault="00CE7422" w:rsidP="00CE7422">
            <w:pPr>
              <w:ind w:right="57"/>
              <w:jc w:val="both"/>
              <w:rPr>
                <w:rFonts w:eastAsia="MS Mincho"/>
                <w:sz w:val="24"/>
                <w:szCs w:val="24"/>
              </w:rPr>
            </w:pPr>
            <w:r w:rsidRPr="00CE7422">
              <w:rPr>
                <w:rFonts w:eastAsia="MS Mincho"/>
                <w:sz w:val="24"/>
                <w:szCs w:val="24"/>
              </w:rPr>
              <w:t>Підсумки практики обговорюються на засіданні кафедри.</w:t>
            </w:r>
          </w:p>
          <w:p w14:paraId="5817A7C8" w14:textId="59EF84BC" w:rsidR="00CE7422" w:rsidRPr="00CE7422" w:rsidRDefault="00CE7422" w:rsidP="00CE7422">
            <w:pPr>
              <w:shd w:val="clear" w:color="auto" w:fill="FFFFFF"/>
              <w:jc w:val="both"/>
              <w:rPr>
                <w:rFonts w:eastAsia="Calibri"/>
                <w:sz w:val="28"/>
                <w:szCs w:val="28"/>
              </w:rPr>
            </w:pPr>
            <w:r w:rsidRPr="00CE7422">
              <w:rPr>
                <w:rFonts w:eastAsia="Calibri"/>
                <w:bCs/>
                <w:sz w:val="24"/>
                <w:szCs w:val="24"/>
              </w:rPr>
              <w:t xml:space="preserve">Оцінювання результативності проходження студентом </w:t>
            </w:r>
            <w:r w:rsidRPr="00CE7422">
              <w:rPr>
                <w:rFonts w:eastAsia="Calibri"/>
                <w:sz w:val="24"/>
                <w:szCs w:val="24"/>
              </w:rPr>
              <w:t xml:space="preserve">практики </w:t>
            </w:r>
            <w:r w:rsidRPr="00CE7422">
              <w:rPr>
                <w:rFonts w:eastAsia="Calibri"/>
                <w:bCs/>
                <w:sz w:val="24"/>
                <w:szCs w:val="24"/>
              </w:rPr>
              <w:t>здійснюється за 100-бальною шкалою</w:t>
            </w:r>
            <w:r w:rsidRPr="00CE7422">
              <w:rPr>
                <w:rFonts w:eastAsia="Calibri"/>
                <w:sz w:val="24"/>
                <w:szCs w:val="24"/>
              </w:rPr>
              <w:t xml:space="preserve">. </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02F517BA" w14:textId="77777777" w:rsidR="00CE7422" w:rsidRDefault="00E52C40" w:rsidP="00CE7422">
            <w:pPr>
              <w:pStyle w:val="aa"/>
              <w:spacing w:before="0" w:line="240" w:lineRule="auto"/>
              <w:ind w:firstLine="0"/>
              <w:rPr>
                <w:sz w:val="24"/>
                <w:szCs w:val="24"/>
              </w:rPr>
            </w:pPr>
            <w:r w:rsidRPr="00E52C40">
              <w:rPr>
                <w:sz w:val="24"/>
                <w:szCs w:val="24"/>
              </w:rPr>
              <w:t>За порушення принципів академічної доброчесності під час будь-якого методу оцінювання</w:t>
            </w:r>
            <w:r w:rsidR="00CE7422">
              <w:rPr>
                <w:sz w:val="24"/>
                <w:szCs w:val="24"/>
              </w:rPr>
              <w:t xml:space="preserve"> </w:t>
            </w:r>
            <w:r w:rsidRPr="00E52C40">
              <w:rPr>
                <w:sz w:val="24"/>
                <w:szCs w:val="24"/>
              </w:rPr>
              <w:t>студенти несуть відповідальність.</w:t>
            </w:r>
          </w:p>
          <w:p w14:paraId="063CCAA7" w14:textId="0A4E8FF3" w:rsidR="00D7334F" w:rsidRPr="00E52C40" w:rsidRDefault="00E52C40" w:rsidP="00CE7422">
            <w:pPr>
              <w:pStyle w:val="aa"/>
              <w:spacing w:before="0" w:line="240" w:lineRule="auto"/>
              <w:ind w:firstLine="0"/>
              <w:rPr>
                <w:sz w:val="24"/>
                <w:szCs w:val="24"/>
              </w:rPr>
            </w:pPr>
            <w:r w:rsidRPr="00E52C40">
              <w:rPr>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7F018281" w14:textId="77777777" w:rsidR="00B02574" w:rsidRPr="004E6D75" w:rsidRDefault="00B02574" w:rsidP="00B02574">
            <w:pPr>
              <w:pStyle w:val="ac"/>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відеоконференцій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rsidRPr="007D031C" w14:paraId="6AF287F3" w14:textId="77777777" w:rsidTr="007D031C">
        <w:trPr>
          <w:trHeight w:val="70"/>
        </w:trPr>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0C72821C" w14:textId="1012DDA5" w:rsidR="006C6C7C" w:rsidRPr="00771C76" w:rsidRDefault="00CE7422" w:rsidP="006C6C7C">
            <w:pPr>
              <w:pStyle w:val="ac"/>
              <w:spacing w:line="240" w:lineRule="auto"/>
              <w:rPr>
                <w:rFonts w:cs="Times New Roman"/>
                <w:i/>
                <w:iCs/>
                <w:sz w:val="24"/>
                <w:szCs w:val="24"/>
              </w:rPr>
            </w:pPr>
            <w:r>
              <w:rPr>
                <w:rFonts w:cs="Times New Roman"/>
                <w:i/>
                <w:iCs/>
                <w:sz w:val="24"/>
                <w:szCs w:val="24"/>
              </w:rPr>
              <w:t>Рекомендована</w:t>
            </w:r>
            <w:r w:rsidR="006C6C7C" w:rsidRPr="00771C76">
              <w:rPr>
                <w:rFonts w:cs="Times New Roman"/>
                <w:i/>
                <w:iCs/>
                <w:sz w:val="24"/>
                <w:szCs w:val="24"/>
              </w:rPr>
              <w:t xml:space="preserve"> література</w:t>
            </w:r>
          </w:p>
          <w:p w14:paraId="1519EFD7" w14:textId="6E81C5B5"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r w:rsidRPr="00D870AE">
              <w:rPr>
                <w:bCs/>
                <w:szCs w:val="24"/>
                <w:lang w:val="uk-UA"/>
              </w:rPr>
              <w:t>Власова</w:t>
            </w:r>
            <w:r>
              <w:rPr>
                <w:bCs/>
                <w:szCs w:val="24"/>
                <w:lang w:val="uk-UA"/>
              </w:rPr>
              <w:t> </w:t>
            </w:r>
            <w:r w:rsidRPr="00D870AE">
              <w:rPr>
                <w:bCs/>
                <w:szCs w:val="24"/>
                <w:lang w:val="uk-UA"/>
              </w:rPr>
              <w:t>Т.</w:t>
            </w:r>
            <w:r>
              <w:rPr>
                <w:bCs/>
                <w:szCs w:val="24"/>
                <w:lang w:val="uk-UA"/>
              </w:rPr>
              <w:t> </w:t>
            </w:r>
            <w:r w:rsidRPr="00D870AE">
              <w:rPr>
                <w:bCs/>
                <w:szCs w:val="24"/>
                <w:lang w:val="uk-UA"/>
              </w:rPr>
              <w:t>І</w:t>
            </w:r>
            <w:r>
              <w:rPr>
                <w:bCs/>
                <w:szCs w:val="24"/>
                <w:lang w:val="uk-UA"/>
              </w:rPr>
              <w:t>.</w:t>
            </w:r>
            <w:r w:rsidRPr="00D870AE">
              <w:rPr>
                <w:bCs/>
                <w:szCs w:val="24"/>
                <w:lang w:val="uk-UA"/>
              </w:rPr>
              <w:t>, Гаркуша</w:t>
            </w:r>
            <w:r>
              <w:rPr>
                <w:bCs/>
                <w:szCs w:val="24"/>
                <w:lang w:val="uk-UA"/>
              </w:rPr>
              <w:t> </w:t>
            </w:r>
            <w:r w:rsidRPr="00D870AE">
              <w:rPr>
                <w:bCs/>
                <w:szCs w:val="24"/>
                <w:lang w:val="uk-UA"/>
              </w:rPr>
              <w:t>В.</w:t>
            </w:r>
            <w:r>
              <w:rPr>
                <w:bCs/>
                <w:szCs w:val="24"/>
                <w:lang w:val="uk-UA"/>
              </w:rPr>
              <w:t> </w:t>
            </w:r>
            <w:r w:rsidRPr="00D870AE">
              <w:rPr>
                <w:bCs/>
                <w:szCs w:val="24"/>
                <w:lang w:val="uk-UA"/>
              </w:rPr>
              <w:t xml:space="preserve">М. Перекладацький аналіз спеціального тексту : </w:t>
            </w:r>
            <w:proofErr w:type="spellStart"/>
            <w:r w:rsidRPr="00D870AE">
              <w:rPr>
                <w:bCs/>
                <w:szCs w:val="24"/>
                <w:lang w:val="uk-UA"/>
              </w:rPr>
              <w:t>навч</w:t>
            </w:r>
            <w:proofErr w:type="spellEnd"/>
            <w:r w:rsidRPr="00D870AE">
              <w:rPr>
                <w:bCs/>
                <w:szCs w:val="24"/>
                <w:lang w:val="uk-UA"/>
              </w:rPr>
              <w:t xml:space="preserve">. </w:t>
            </w:r>
            <w:proofErr w:type="spellStart"/>
            <w:r w:rsidRPr="00D870AE">
              <w:rPr>
                <w:bCs/>
                <w:szCs w:val="24"/>
                <w:lang w:val="uk-UA"/>
              </w:rPr>
              <w:t>посіб</w:t>
            </w:r>
            <w:proofErr w:type="spellEnd"/>
            <w:r w:rsidRPr="00D870AE">
              <w:rPr>
                <w:bCs/>
                <w:szCs w:val="24"/>
                <w:lang w:val="uk-UA"/>
              </w:rPr>
              <w:t>. Дніпропетровськ, 2014. 160 с.</w:t>
            </w:r>
          </w:p>
          <w:p w14:paraId="1F12B7B1" w14:textId="65749074"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r w:rsidRPr="00D870AE">
              <w:rPr>
                <w:bCs/>
                <w:szCs w:val="24"/>
                <w:lang w:val="uk-UA"/>
              </w:rPr>
              <w:t>Власова</w:t>
            </w:r>
            <w:r>
              <w:rPr>
                <w:bCs/>
                <w:szCs w:val="24"/>
                <w:lang w:val="uk-UA"/>
              </w:rPr>
              <w:t> </w:t>
            </w:r>
            <w:r w:rsidRPr="00D870AE">
              <w:rPr>
                <w:bCs/>
                <w:szCs w:val="24"/>
                <w:lang w:val="uk-UA"/>
              </w:rPr>
              <w:t xml:space="preserve">Т.І., </w:t>
            </w:r>
            <w:proofErr w:type="spellStart"/>
            <w:r w:rsidRPr="00D870AE">
              <w:rPr>
                <w:bCs/>
                <w:szCs w:val="24"/>
                <w:lang w:val="uk-UA"/>
              </w:rPr>
              <w:t>Мямлін</w:t>
            </w:r>
            <w:proofErr w:type="spellEnd"/>
            <w:r w:rsidRPr="00D870AE">
              <w:rPr>
                <w:bCs/>
                <w:szCs w:val="24"/>
                <w:lang w:val="uk-UA"/>
              </w:rPr>
              <w:t xml:space="preserve"> С.В. Слово і переклад</w:t>
            </w:r>
            <w:r>
              <w:rPr>
                <w:bCs/>
                <w:szCs w:val="24"/>
                <w:lang w:val="uk-UA"/>
              </w:rPr>
              <w:t> </w:t>
            </w:r>
            <w:r w:rsidRPr="00D870AE">
              <w:rPr>
                <w:bCs/>
                <w:szCs w:val="24"/>
                <w:lang w:val="uk-UA"/>
              </w:rPr>
              <w:t xml:space="preserve">: </w:t>
            </w:r>
            <w:proofErr w:type="spellStart"/>
            <w:r w:rsidRPr="00D870AE">
              <w:rPr>
                <w:bCs/>
                <w:szCs w:val="24"/>
                <w:lang w:val="uk-UA"/>
              </w:rPr>
              <w:t>навч</w:t>
            </w:r>
            <w:proofErr w:type="spellEnd"/>
            <w:r w:rsidRPr="00D870AE">
              <w:rPr>
                <w:bCs/>
                <w:szCs w:val="24"/>
                <w:lang w:val="uk-UA"/>
              </w:rPr>
              <w:t xml:space="preserve">. </w:t>
            </w:r>
            <w:proofErr w:type="spellStart"/>
            <w:r w:rsidRPr="00D870AE">
              <w:rPr>
                <w:bCs/>
                <w:szCs w:val="24"/>
                <w:lang w:val="uk-UA"/>
              </w:rPr>
              <w:t>посіб</w:t>
            </w:r>
            <w:proofErr w:type="spellEnd"/>
            <w:r w:rsidRPr="00D870AE">
              <w:rPr>
                <w:bCs/>
                <w:szCs w:val="24"/>
                <w:lang w:val="uk-UA"/>
              </w:rPr>
              <w:t xml:space="preserve">. Дніпропетровськ : </w:t>
            </w:r>
            <w:proofErr w:type="spellStart"/>
            <w:r w:rsidRPr="00D870AE">
              <w:rPr>
                <w:bCs/>
                <w:szCs w:val="24"/>
                <w:lang w:val="uk-UA"/>
              </w:rPr>
              <w:t>Дніпропетр</w:t>
            </w:r>
            <w:proofErr w:type="spellEnd"/>
            <w:r w:rsidRPr="00D870AE">
              <w:rPr>
                <w:bCs/>
                <w:szCs w:val="24"/>
                <w:lang w:val="uk-UA"/>
              </w:rPr>
              <w:t xml:space="preserve">. </w:t>
            </w:r>
            <w:proofErr w:type="spellStart"/>
            <w:r w:rsidRPr="00D870AE">
              <w:rPr>
                <w:bCs/>
                <w:szCs w:val="24"/>
                <w:lang w:val="uk-UA"/>
              </w:rPr>
              <w:t>нац</w:t>
            </w:r>
            <w:proofErr w:type="spellEnd"/>
            <w:r w:rsidRPr="00D870AE">
              <w:rPr>
                <w:bCs/>
                <w:szCs w:val="24"/>
                <w:lang w:val="uk-UA"/>
              </w:rPr>
              <w:t xml:space="preserve">. ун-т </w:t>
            </w:r>
            <w:proofErr w:type="spellStart"/>
            <w:r w:rsidRPr="00D870AE">
              <w:rPr>
                <w:bCs/>
                <w:szCs w:val="24"/>
                <w:lang w:val="uk-UA"/>
              </w:rPr>
              <w:t>залізн</w:t>
            </w:r>
            <w:proofErr w:type="spellEnd"/>
            <w:r w:rsidRPr="00D870AE">
              <w:rPr>
                <w:bCs/>
                <w:szCs w:val="24"/>
                <w:lang w:val="uk-UA"/>
              </w:rPr>
              <w:t xml:space="preserve">. </w:t>
            </w:r>
            <w:proofErr w:type="spellStart"/>
            <w:r w:rsidRPr="00D870AE">
              <w:rPr>
                <w:bCs/>
                <w:szCs w:val="24"/>
                <w:lang w:val="uk-UA"/>
              </w:rPr>
              <w:t>трансп</w:t>
            </w:r>
            <w:proofErr w:type="spellEnd"/>
            <w:r w:rsidRPr="00D870AE">
              <w:rPr>
                <w:bCs/>
                <w:szCs w:val="24"/>
                <w:lang w:val="uk-UA"/>
              </w:rPr>
              <w:t xml:space="preserve">. ім. акад. В. Лазаряна, 2015. 126 с. </w:t>
            </w:r>
          </w:p>
          <w:p w14:paraId="2C1DB7B3" w14:textId="4074B643"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r w:rsidRPr="00D870AE">
              <w:rPr>
                <w:bCs/>
                <w:szCs w:val="24"/>
                <w:lang w:val="uk-UA"/>
              </w:rPr>
              <w:t>Єфімов</w:t>
            </w:r>
            <w:r>
              <w:rPr>
                <w:bCs/>
                <w:szCs w:val="24"/>
                <w:lang w:val="uk-UA"/>
              </w:rPr>
              <w:t> </w:t>
            </w:r>
            <w:r w:rsidRPr="00D870AE">
              <w:rPr>
                <w:bCs/>
                <w:szCs w:val="24"/>
                <w:lang w:val="uk-UA"/>
              </w:rPr>
              <w:t xml:space="preserve">Л.П. Практична стилістика англійської мови. Вінниця : Нова книга, 2004 </w:t>
            </w:r>
          </w:p>
          <w:p w14:paraId="0B1D22ED" w14:textId="1C628437"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proofErr w:type="spellStart"/>
            <w:r w:rsidRPr="00D870AE">
              <w:rPr>
                <w:bCs/>
                <w:szCs w:val="24"/>
                <w:lang w:val="uk-UA"/>
              </w:rPr>
              <w:t>Карабан</w:t>
            </w:r>
            <w:proofErr w:type="spellEnd"/>
            <w:r>
              <w:rPr>
                <w:bCs/>
                <w:szCs w:val="24"/>
                <w:lang w:val="uk-UA"/>
              </w:rPr>
              <w:t> </w:t>
            </w:r>
            <w:r w:rsidRPr="00D870AE">
              <w:rPr>
                <w:bCs/>
                <w:szCs w:val="24"/>
                <w:lang w:val="uk-UA"/>
              </w:rPr>
              <w:t>В.І. Переклад англійської наукової і технічної літератури. Вінниця : Нова книга, 2005.</w:t>
            </w:r>
          </w:p>
          <w:p w14:paraId="77D189DA" w14:textId="77777777"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r w:rsidRPr="00D870AE">
              <w:rPr>
                <w:bCs/>
                <w:szCs w:val="24"/>
                <w:lang w:val="uk-UA"/>
              </w:rPr>
              <w:t>Кухаренко В.А. Практика зі стилістики англійської мови. Вінниця : Нова книга, 2004.</w:t>
            </w:r>
          </w:p>
          <w:p w14:paraId="3CA27365" w14:textId="77777777" w:rsidR="00D870AE"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r w:rsidRPr="00D870AE">
              <w:rPr>
                <w:bCs/>
                <w:szCs w:val="24"/>
                <w:lang w:val="uk-UA"/>
              </w:rPr>
              <w:t xml:space="preserve">Тимошенко Ж.І., Власова T.I. </w:t>
            </w:r>
            <w:proofErr w:type="spellStart"/>
            <w:r w:rsidRPr="00D870AE">
              <w:rPr>
                <w:bCs/>
                <w:szCs w:val="24"/>
                <w:lang w:val="uk-UA"/>
              </w:rPr>
              <w:t>Training</w:t>
            </w:r>
            <w:proofErr w:type="spellEnd"/>
            <w:r w:rsidRPr="00D870AE">
              <w:rPr>
                <w:bCs/>
                <w:szCs w:val="24"/>
                <w:lang w:val="uk-UA"/>
              </w:rPr>
              <w:t xml:space="preserve"> </w:t>
            </w:r>
            <w:proofErr w:type="spellStart"/>
            <w:r w:rsidRPr="00D870AE">
              <w:rPr>
                <w:bCs/>
                <w:szCs w:val="24"/>
                <w:lang w:val="uk-UA"/>
              </w:rPr>
              <w:t>Service</w:t>
            </w:r>
            <w:proofErr w:type="spellEnd"/>
            <w:r w:rsidRPr="00D870AE">
              <w:rPr>
                <w:bCs/>
                <w:szCs w:val="24"/>
                <w:lang w:val="uk-UA"/>
              </w:rPr>
              <w:t xml:space="preserve"> </w:t>
            </w:r>
            <w:proofErr w:type="spellStart"/>
            <w:r w:rsidRPr="00D870AE">
              <w:rPr>
                <w:bCs/>
                <w:szCs w:val="24"/>
                <w:lang w:val="uk-UA"/>
              </w:rPr>
              <w:t>in</w:t>
            </w:r>
            <w:proofErr w:type="spellEnd"/>
            <w:r w:rsidRPr="00D870AE">
              <w:rPr>
                <w:bCs/>
                <w:szCs w:val="24"/>
                <w:lang w:val="uk-UA"/>
              </w:rPr>
              <w:t xml:space="preserve"> </w:t>
            </w:r>
            <w:proofErr w:type="spellStart"/>
            <w:r w:rsidRPr="00D870AE">
              <w:rPr>
                <w:bCs/>
                <w:szCs w:val="24"/>
                <w:lang w:val="uk-UA"/>
              </w:rPr>
              <w:t>Using</w:t>
            </w:r>
            <w:proofErr w:type="spellEnd"/>
            <w:r w:rsidRPr="00D870AE">
              <w:rPr>
                <w:bCs/>
                <w:szCs w:val="24"/>
                <w:lang w:val="uk-UA"/>
              </w:rPr>
              <w:t xml:space="preserve"> </w:t>
            </w:r>
            <w:proofErr w:type="spellStart"/>
            <w:r w:rsidRPr="00D870AE">
              <w:rPr>
                <w:bCs/>
                <w:szCs w:val="24"/>
                <w:lang w:val="uk-UA"/>
              </w:rPr>
              <w:t>English</w:t>
            </w:r>
            <w:proofErr w:type="spellEnd"/>
            <w:r w:rsidRPr="00D870AE">
              <w:rPr>
                <w:bCs/>
                <w:szCs w:val="24"/>
                <w:lang w:val="uk-UA"/>
              </w:rPr>
              <w:t xml:space="preserve"> </w:t>
            </w:r>
            <w:proofErr w:type="spellStart"/>
            <w:r w:rsidRPr="00D870AE">
              <w:rPr>
                <w:bCs/>
                <w:szCs w:val="24"/>
                <w:lang w:val="uk-UA"/>
              </w:rPr>
              <w:t>Lexical</w:t>
            </w:r>
            <w:proofErr w:type="spellEnd"/>
            <w:r w:rsidRPr="00D870AE">
              <w:rPr>
                <w:bCs/>
                <w:szCs w:val="24"/>
                <w:lang w:val="uk-UA"/>
              </w:rPr>
              <w:t xml:space="preserve"> </w:t>
            </w:r>
            <w:proofErr w:type="spellStart"/>
            <w:r w:rsidRPr="00D870AE">
              <w:rPr>
                <w:bCs/>
                <w:szCs w:val="24"/>
                <w:lang w:val="uk-UA"/>
              </w:rPr>
              <w:t>Units</w:t>
            </w:r>
            <w:proofErr w:type="spellEnd"/>
            <w:r w:rsidRPr="00D870AE">
              <w:rPr>
                <w:bCs/>
                <w:szCs w:val="24"/>
                <w:lang w:val="uk-UA"/>
              </w:rPr>
              <w:t>. Дніпропетровськ : Наука і освіта, 2005.</w:t>
            </w:r>
          </w:p>
          <w:p w14:paraId="24F38FFB" w14:textId="77777777" w:rsidR="00D870AE" w:rsidRDefault="00D870AE" w:rsidP="00D870AE">
            <w:pPr>
              <w:pStyle w:val="af"/>
              <w:numPr>
                <w:ilvl w:val="0"/>
                <w:numId w:val="6"/>
              </w:numPr>
              <w:tabs>
                <w:tab w:val="left" w:pos="426"/>
              </w:tabs>
              <w:suppressAutoHyphens/>
              <w:spacing w:after="0" w:line="240" w:lineRule="auto"/>
              <w:ind w:left="714" w:hanging="357"/>
              <w:rPr>
                <w:bCs/>
                <w:szCs w:val="24"/>
                <w:lang w:val="uk-UA"/>
              </w:rPr>
            </w:pPr>
            <w:proofErr w:type="spellStart"/>
            <w:r w:rsidRPr="00D870AE">
              <w:rPr>
                <w:bCs/>
                <w:szCs w:val="24"/>
                <w:lang w:val="uk-UA"/>
              </w:rPr>
              <w:t>Millán</w:t>
            </w:r>
            <w:proofErr w:type="spellEnd"/>
            <w:r w:rsidRPr="00D870AE">
              <w:rPr>
                <w:bCs/>
                <w:szCs w:val="24"/>
                <w:lang w:val="uk-UA"/>
              </w:rPr>
              <w:t xml:space="preserve"> C., </w:t>
            </w:r>
            <w:proofErr w:type="spellStart"/>
            <w:r w:rsidRPr="00D870AE">
              <w:rPr>
                <w:bCs/>
                <w:szCs w:val="24"/>
                <w:lang w:val="uk-UA"/>
              </w:rPr>
              <w:t>Bartrina</w:t>
            </w:r>
            <w:proofErr w:type="spellEnd"/>
            <w:r w:rsidRPr="00D870AE">
              <w:rPr>
                <w:bCs/>
                <w:szCs w:val="24"/>
                <w:lang w:val="uk-UA"/>
              </w:rPr>
              <w:t xml:space="preserve"> F. </w:t>
            </w:r>
            <w:proofErr w:type="spellStart"/>
            <w:r w:rsidRPr="00D870AE">
              <w:rPr>
                <w:bCs/>
                <w:szCs w:val="24"/>
                <w:lang w:val="uk-UA"/>
              </w:rPr>
              <w:t>The</w:t>
            </w:r>
            <w:proofErr w:type="spellEnd"/>
            <w:r w:rsidRPr="00D870AE">
              <w:rPr>
                <w:bCs/>
                <w:szCs w:val="24"/>
                <w:lang w:val="uk-UA"/>
              </w:rPr>
              <w:t xml:space="preserve"> </w:t>
            </w:r>
            <w:proofErr w:type="spellStart"/>
            <w:r w:rsidRPr="00D870AE">
              <w:rPr>
                <w:bCs/>
                <w:szCs w:val="24"/>
                <w:lang w:val="uk-UA"/>
              </w:rPr>
              <w:t>Routledge</w:t>
            </w:r>
            <w:proofErr w:type="spellEnd"/>
            <w:r w:rsidRPr="00D870AE">
              <w:rPr>
                <w:bCs/>
                <w:szCs w:val="24"/>
                <w:lang w:val="uk-UA"/>
              </w:rPr>
              <w:t xml:space="preserve"> </w:t>
            </w:r>
            <w:proofErr w:type="spellStart"/>
            <w:r w:rsidRPr="00D870AE">
              <w:rPr>
                <w:bCs/>
                <w:szCs w:val="24"/>
                <w:lang w:val="uk-UA"/>
              </w:rPr>
              <w:t>Handbook</w:t>
            </w:r>
            <w:proofErr w:type="spellEnd"/>
            <w:r w:rsidRPr="00D870AE">
              <w:rPr>
                <w:bCs/>
                <w:szCs w:val="24"/>
                <w:lang w:val="uk-UA"/>
              </w:rPr>
              <w:t xml:space="preserve"> </w:t>
            </w:r>
            <w:proofErr w:type="spellStart"/>
            <w:r w:rsidRPr="00D870AE">
              <w:rPr>
                <w:bCs/>
                <w:szCs w:val="24"/>
                <w:lang w:val="uk-UA"/>
              </w:rPr>
              <w:t>of</w:t>
            </w:r>
            <w:proofErr w:type="spellEnd"/>
            <w:r w:rsidRPr="00D870AE">
              <w:rPr>
                <w:bCs/>
                <w:szCs w:val="24"/>
                <w:lang w:val="uk-UA"/>
              </w:rPr>
              <w:t xml:space="preserve"> </w:t>
            </w:r>
            <w:proofErr w:type="spellStart"/>
            <w:r w:rsidRPr="00D870AE">
              <w:rPr>
                <w:bCs/>
                <w:szCs w:val="24"/>
                <w:lang w:val="uk-UA"/>
              </w:rPr>
              <w:t>Translation</w:t>
            </w:r>
            <w:proofErr w:type="spellEnd"/>
            <w:r w:rsidRPr="00D870AE">
              <w:rPr>
                <w:bCs/>
                <w:szCs w:val="24"/>
                <w:lang w:val="uk-UA"/>
              </w:rPr>
              <w:t xml:space="preserve"> </w:t>
            </w:r>
            <w:proofErr w:type="spellStart"/>
            <w:r w:rsidRPr="00D870AE">
              <w:rPr>
                <w:bCs/>
                <w:szCs w:val="24"/>
                <w:lang w:val="uk-UA"/>
              </w:rPr>
              <w:t>Studies</w:t>
            </w:r>
            <w:proofErr w:type="spellEnd"/>
            <w:r w:rsidRPr="00D870AE">
              <w:rPr>
                <w:bCs/>
                <w:szCs w:val="24"/>
                <w:lang w:val="uk-UA"/>
              </w:rPr>
              <w:t xml:space="preserve">. </w:t>
            </w:r>
            <w:proofErr w:type="spellStart"/>
            <w:r w:rsidRPr="00D870AE">
              <w:rPr>
                <w:bCs/>
                <w:szCs w:val="24"/>
                <w:lang w:val="uk-UA"/>
              </w:rPr>
              <w:t>Routledge</w:t>
            </w:r>
            <w:proofErr w:type="spellEnd"/>
            <w:r w:rsidRPr="00D870AE">
              <w:rPr>
                <w:bCs/>
                <w:szCs w:val="24"/>
                <w:lang w:val="uk-UA"/>
              </w:rPr>
              <w:t>, 2016.</w:t>
            </w:r>
          </w:p>
          <w:p w14:paraId="6F0D43E5" w14:textId="56D3BF1A" w:rsidR="00B02574" w:rsidRPr="00D870AE" w:rsidRDefault="00D870AE" w:rsidP="00D870AE">
            <w:pPr>
              <w:pStyle w:val="af"/>
              <w:numPr>
                <w:ilvl w:val="0"/>
                <w:numId w:val="6"/>
              </w:numPr>
              <w:tabs>
                <w:tab w:val="left" w:pos="426"/>
              </w:tabs>
              <w:suppressAutoHyphens/>
              <w:spacing w:after="0" w:line="240" w:lineRule="auto"/>
              <w:ind w:left="714" w:hanging="357"/>
              <w:rPr>
                <w:bCs/>
                <w:szCs w:val="24"/>
                <w:lang w:val="uk-UA"/>
              </w:rPr>
            </w:pPr>
            <w:proofErr w:type="spellStart"/>
            <w:r w:rsidRPr="00D870AE">
              <w:rPr>
                <w:bCs/>
                <w:szCs w:val="24"/>
                <w:lang w:val="uk-UA"/>
              </w:rPr>
              <w:t>Clifford</w:t>
            </w:r>
            <w:proofErr w:type="spellEnd"/>
            <w:r w:rsidRPr="00D870AE">
              <w:rPr>
                <w:bCs/>
                <w:szCs w:val="24"/>
                <w:lang w:val="uk-UA"/>
              </w:rPr>
              <w:t xml:space="preserve"> F. </w:t>
            </w:r>
            <w:proofErr w:type="spellStart"/>
            <w:r w:rsidRPr="00D870AE">
              <w:rPr>
                <w:bCs/>
                <w:szCs w:val="24"/>
                <w:lang w:val="uk-UA"/>
              </w:rPr>
              <w:t>Bonnett</w:t>
            </w:r>
            <w:proofErr w:type="spellEnd"/>
            <w:r w:rsidRPr="00D870AE">
              <w:rPr>
                <w:bCs/>
                <w:szCs w:val="24"/>
                <w:lang w:val="uk-UA"/>
              </w:rPr>
              <w:t xml:space="preserve">. </w:t>
            </w:r>
            <w:proofErr w:type="spellStart"/>
            <w:r w:rsidRPr="00D870AE">
              <w:rPr>
                <w:bCs/>
                <w:szCs w:val="24"/>
                <w:lang w:val="uk-UA"/>
              </w:rPr>
              <w:t>Practical</w:t>
            </w:r>
            <w:proofErr w:type="spellEnd"/>
            <w:r w:rsidRPr="00D870AE">
              <w:rPr>
                <w:bCs/>
                <w:szCs w:val="24"/>
                <w:lang w:val="uk-UA"/>
              </w:rPr>
              <w:t xml:space="preserve"> </w:t>
            </w:r>
            <w:proofErr w:type="spellStart"/>
            <w:r w:rsidRPr="00D870AE">
              <w:rPr>
                <w:bCs/>
                <w:szCs w:val="24"/>
                <w:lang w:val="uk-UA"/>
              </w:rPr>
              <w:t>Railway</w:t>
            </w:r>
            <w:proofErr w:type="spellEnd"/>
            <w:r w:rsidRPr="00D870AE">
              <w:rPr>
                <w:bCs/>
                <w:szCs w:val="24"/>
                <w:lang w:val="uk-UA"/>
              </w:rPr>
              <w:t xml:space="preserve"> </w:t>
            </w:r>
            <w:proofErr w:type="spellStart"/>
            <w:r w:rsidRPr="00D870AE">
              <w:rPr>
                <w:bCs/>
                <w:szCs w:val="24"/>
                <w:lang w:val="uk-UA"/>
              </w:rPr>
              <w:t>Engineering</w:t>
            </w:r>
            <w:proofErr w:type="spellEnd"/>
            <w:r w:rsidRPr="00D870AE">
              <w:rPr>
                <w:bCs/>
                <w:szCs w:val="24"/>
                <w:lang w:val="uk-UA"/>
              </w:rPr>
              <w:t xml:space="preserve">. </w:t>
            </w:r>
            <w:proofErr w:type="spellStart"/>
            <w:r w:rsidRPr="00D870AE">
              <w:rPr>
                <w:bCs/>
                <w:szCs w:val="24"/>
                <w:lang w:val="uk-UA"/>
              </w:rPr>
              <w:t>London</w:t>
            </w:r>
            <w:proofErr w:type="spellEnd"/>
            <w:r w:rsidRPr="00D870AE">
              <w:rPr>
                <w:bCs/>
                <w:szCs w:val="24"/>
                <w:lang w:val="uk-UA"/>
              </w:rPr>
              <w:t xml:space="preserve"> : </w:t>
            </w:r>
            <w:proofErr w:type="spellStart"/>
            <w:r w:rsidRPr="00D870AE">
              <w:rPr>
                <w:bCs/>
                <w:szCs w:val="24"/>
                <w:lang w:val="uk-UA"/>
              </w:rPr>
              <w:t>Imperial</w:t>
            </w:r>
            <w:proofErr w:type="spellEnd"/>
            <w:r w:rsidRPr="00D870AE">
              <w:rPr>
                <w:bCs/>
                <w:szCs w:val="24"/>
                <w:lang w:val="uk-UA"/>
              </w:rPr>
              <w:t xml:space="preserve"> </w:t>
            </w:r>
            <w:proofErr w:type="spellStart"/>
            <w:r w:rsidRPr="00D870AE">
              <w:rPr>
                <w:bCs/>
                <w:szCs w:val="24"/>
                <w:lang w:val="uk-UA"/>
              </w:rPr>
              <w:t>College</w:t>
            </w:r>
            <w:proofErr w:type="spellEnd"/>
            <w:r w:rsidRPr="00D870AE">
              <w:rPr>
                <w:bCs/>
                <w:szCs w:val="24"/>
                <w:lang w:val="uk-UA"/>
              </w:rPr>
              <w:t xml:space="preserve"> </w:t>
            </w:r>
            <w:proofErr w:type="spellStart"/>
            <w:r w:rsidRPr="00D870AE">
              <w:rPr>
                <w:bCs/>
                <w:szCs w:val="24"/>
                <w:lang w:val="uk-UA"/>
              </w:rPr>
              <w:t>Press</w:t>
            </w:r>
            <w:proofErr w:type="spellEnd"/>
            <w:r w:rsidRPr="00D870AE">
              <w:rPr>
                <w:bCs/>
                <w:szCs w:val="24"/>
                <w:lang w:val="uk-UA"/>
              </w:rPr>
              <w:t>, 1996.</w:t>
            </w:r>
          </w:p>
        </w:tc>
      </w:tr>
    </w:tbl>
    <w:p w14:paraId="75565482" w14:textId="77777777" w:rsidR="00D7334F" w:rsidRPr="001E6BDA"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E2E6" w14:textId="77777777" w:rsidR="004C3EBE" w:rsidRDefault="004C3EBE">
      <w:r>
        <w:separator/>
      </w:r>
    </w:p>
  </w:endnote>
  <w:endnote w:type="continuationSeparator" w:id="0">
    <w:p w14:paraId="3F962850" w14:textId="77777777" w:rsidR="004C3EBE" w:rsidRDefault="004C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A22CB"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AA22CB" w:rsidRDefault="00AA22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A22CB"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AA22CB" w:rsidRDefault="00AA22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A540" w14:textId="77777777" w:rsidR="004C3EBE" w:rsidRDefault="004C3EBE">
      <w:r>
        <w:separator/>
      </w:r>
    </w:p>
  </w:footnote>
  <w:footnote w:type="continuationSeparator" w:id="0">
    <w:p w14:paraId="102BC525" w14:textId="77777777" w:rsidR="004C3EBE" w:rsidRDefault="004C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66895"/>
    <w:multiLevelType w:val="hybridMultilevel"/>
    <w:tmpl w:val="C50CFD3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34293776"/>
    <w:multiLevelType w:val="hybridMultilevel"/>
    <w:tmpl w:val="EAC2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23A30"/>
    <w:multiLevelType w:val="hybridMultilevel"/>
    <w:tmpl w:val="FB8A93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5"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4"/>
  </w:num>
  <w:num w:numId="2" w16cid:durableId="1150705726">
    <w:abstractNumId w:val="5"/>
  </w:num>
  <w:num w:numId="3" w16cid:durableId="1785077150">
    <w:abstractNumId w:val="0"/>
  </w:num>
  <w:num w:numId="4" w16cid:durableId="1060519770">
    <w:abstractNumId w:val="3"/>
  </w:num>
  <w:num w:numId="5" w16cid:durableId="633565994">
    <w:abstractNumId w:val="1"/>
  </w:num>
  <w:num w:numId="6" w16cid:durableId="111609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06DC"/>
    <w:rsid w:val="000F235A"/>
    <w:rsid w:val="001E6BDA"/>
    <w:rsid w:val="00262DCD"/>
    <w:rsid w:val="00287908"/>
    <w:rsid w:val="004C3EBE"/>
    <w:rsid w:val="00555CB4"/>
    <w:rsid w:val="00606312"/>
    <w:rsid w:val="006C41BD"/>
    <w:rsid w:val="006C6C7C"/>
    <w:rsid w:val="006F4B41"/>
    <w:rsid w:val="00761270"/>
    <w:rsid w:val="007635B0"/>
    <w:rsid w:val="007D031C"/>
    <w:rsid w:val="008200D6"/>
    <w:rsid w:val="00836944"/>
    <w:rsid w:val="008E2803"/>
    <w:rsid w:val="00924839"/>
    <w:rsid w:val="00955DD9"/>
    <w:rsid w:val="00A31401"/>
    <w:rsid w:val="00A72F5B"/>
    <w:rsid w:val="00AA22CB"/>
    <w:rsid w:val="00AB4410"/>
    <w:rsid w:val="00B02574"/>
    <w:rsid w:val="00BF2F36"/>
    <w:rsid w:val="00CA1617"/>
    <w:rsid w:val="00CB1B31"/>
    <w:rsid w:val="00CE7422"/>
    <w:rsid w:val="00D06913"/>
    <w:rsid w:val="00D13E18"/>
    <w:rsid w:val="00D7334F"/>
    <w:rsid w:val="00D870AE"/>
    <w:rsid w:val="00E52C40"/>
    <w:rsid w:val="00F1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iPriority w:val="99"/>
    <w:unhideWhenUsed/>
    <w:rsid w:val="00AB4410"/>
    <w:pPr>
      <w:jc w:val="both"/>
    </w:pPr>
    <w:rPr>
      <w:sz w:val="24"/>
      <w:szCs w:val="24"/>
    </w:rPr>
  </w:style>
  <w:style w:type="character" w:customStyle="1" w:styleId="a9">
    <w:name w:val="Основний текст Знак"/>
    <w:basedOn w:val="a0"/>
    <w:link w:val="a8"/>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 w:type="paragraph" w:styleId="21">
    <w:name w:val="Body Text 2"/>
    <w:basedOn w:val="a"/>
    <w:link w:val="22"/>
    <w:uiPriority w:val="99"/>
    <w:unhideWhenUsed/>
    <w:rsid w:val="00CE7422"/>
    <w:pPr>
      <w:ind w:right="57"/>
      <w:jc w:val="both"/>
    </w:pPr>
    <w:rPr>
      <w:rFonts w:eastAsia="MS Mincho"/>
      <w:sz w:val="24"/>
      <w:szCs w:val="24"/>
    </w:rPr>
  </w:style>
  <w:style w:type="character" w:customStyle="1" w:styleId="22">
    <w:name w:val="Основний текст 2 Знак"/>
    <w:basedOn w:val="a0"/>
    <w:link w:val="21"/>
    <w:uiPriority w:val="99"/>
    <w:rsid w:val="00CE7422"/>
    <w:rPr>
      <w:rFonts w:ascii="Times New Roman" w:eastAsia="MS Mincho" w:hAnsi="Times New Roman" w:cs="Times New Roman"/>
      <w:sz w:val="24"/>
      <w:szCs w:val="24"/>
      <w:lang w:val="uk-UA" w:eastAsia="ru-RU"/>
    </w:rPr>
  </w:style>
  <w:style w:type="paragraph" w:styleId="af2">
    <w:name w:val="Body Text Indent"/>
    <w:basedOn w:val="a"/>
    <w:link w:val="af3"/>
    <w:uiPriority w:val="99"/>
    <w:semiHidden/>
    <w:unhideWhenUsed/>
    <w:rsid w:val="007635B0"/>
    <w:pPr>
      <w:spacing w:after="120"/>
      <w:ind w:left="283"/>
    </w:pPr>
  </w:style>
  <w:style w:type="character" w:customStyle="1" w:styleId="af3">
    <w:name w:val="Основний текст з відступом Знак"/>
    <w:basedOn w:val="a0"/>
    <w:link w:val="af2"/>
    <w:uiPriority w:val="99"/>
    <w:semiHidden/>
    <w:rsid w:val="007635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1228</Words>
  <Characters>7002</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15</cp:revision>
  <dcterms:created xsi:type="dcterms:W3CDTF">2023-01-03T12:39:00Z</dcterms:created>
  <dcterms:modified xsi:type="dcterms:W3CDTF">2023-12-18T14:18:00Z</dcterms:modified>
</cp:coreProperties>
</file>