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6AEA3BC1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5B4AAB">
              <w:rPr>
                <w:color w:val="244061"/>
                <w:sz w:val="24"/>
                <w:szCs w:val="24"/>
              </w:rPr>
              <w:t>Невирішені проблеми лінгвістики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2145C61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46BFDF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3D533BDE" w:rsidR="00D7334F" w:rsidRDefault="009A20C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63F0C6FA" w:rsidR="005E4773" w:rsidRPr="00D13E18" w:rsidRDefault="00D13E18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101"/>
      </w:tblGrid>
      <w:tr w:rsidR="00D7334F" w14:paraId="4DBAB52C" w14:textId="77777777" w:rsidTr="0077470D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101" w:type="dxa"/>
            <w:vAlign w:val="center"/>
          </w:tcPr>
          <w:p w14:paraId="17BC2C8A" w14:textId="6E873178" w:rsidR="009A20CB" w:rsidRDefault="009A20CB" w:rsidP="005E47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зарубіжної літератури</w:t>
            </w:r>
          </w:p>
          <w:p w14:paraId="1E0F5849" w14:textId="062BABB8" w:rsidR="009A20CB" w:rsidRPr="009A20CB" w:rsidRDefault="009A20CB" w:rsidP="005E4773">
            <w:pPr>
              <w:jc w:val="both"/>
              <w:rPr>
                <w:sz w:val="24"/>
                <w:szCs w:val="24"/>
              </w:rPr>
            </w:pPr>
            <w:r w:rsidRPr="009A20CB">
              <w:rPr>
                <w:sz w:val="24"/>
                <w:szCs w:val="24"/>
              </w:rPr>
              <w:t>Історія основної іноземної мови (англійської)/Германістика в історико-діалектичному розвитку/Стандартні варіанти сучасної англійської мови/Історична лінгвістика і проблеми етимології англійської мови</w:t>
            </w:r>
          </w:p>
        </w:tc>
      </w:tr>
      <w:tr w:rsidR="00D7334F" w14:paraId="0007C3B7" w14:textId="77777777" w:rsidTr="0077470D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101" w:type="dxa"/>
          </w:tcPr>
          <w:p w14:paraId="3D30465A" w14:textId="6AD9E486" w:rsidR="00D7334F" w:rsidRPr="008E16A3" w:rsidRDefault="009A20CB" w:rsidP="008E16A3">
            <w:pPr>
              <w:ind w:firstLine="567"/>
              <w:jc w:val="both"/>
              <w:rPr>
                <w:sz w:val="24"/>
                <w:szCs w:val="24"/>
              </w:rPr>
            </w:pPr>
            <w:r w:rsidRPr="00AE2E83">
              <w:rPr>
                <w:bCs/>
                <w:sz w:val="24"/>
                <w:szCs w:val="24"/>
              </w:rPr>
              <w:t>Метою дисципліни є</w:t>
            </w:r>
            <w:r w:rsidR="008E16A3">
              <w:rPr>
                <w:bCs/>
                <w:sz w:val="24"/>
                <w:szCs w:val="24"/>
              </w:rPr>
              <w:t xml:space="preserve"> </w:t>
            </w:r>
            <w:r w:rsidR="008E16A3" w:rsidRPr="00F7326B">
              <w:rPr>
                <w:sz w:val="24"/>
                <w:szCs w:val="24"/>
              </w:rPr>
              <w:t>поглиблення  й  узагальнення  теоретичної  лінгвістичної підготовки  студентів,  формування  навичок  діалектичного  підходу  до вивчення  наукових  лінгвістичних  явищ  та  здійснення  комплексного лінгвістичного  аналізу;  ознайомлення  із  сучасними  напрямами  зарубіжного  та українського мовознавства та методами дослідження мовних явищ.</w:t>
            </w:r>
          </w:p>
        </w:tc>
      </w:tr>
      <w:tr w:rsidR="00D7334F" w14:paraId="2C82B5AF" w14:textId="77777777" w:rsidTr="0077470D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101" w:type="dxa"/>
          </w:tcPr>
          <w:p w14:paraId="56719B53" w14:textId="64B64B41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1 </w:t>
            </w:r>
            <w:r w:rsidRPr="008E16A3">
              <w:rPr>
                <w:sz w:val="24"/>
                <w:szCs w:val="24"/>
              </w:rPr>
              <w:t>Характеризувати основні напрями сучасних лінгвістичних досліджень</w:t>
            </w:r>
          </w:p>
          <w:p w14:paraId="5F60A341" w14:textId="75755D08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2 Володіти</w:t>
            </w:r>
            <w:r w:rsidRPr="008E16A3">
              <w:rPr>
                <w:sz w:val="24"/>
                <w:szCs w:val="24"/>
              </w:rPr>
              <w:t xml:space="preserve">  метод</w:t>
            </w:r>
            <w:r>
              <w:rPr>
                <w:sz w:val="24"/>
                <w:szCs w:val="24"/>
              </w:rPr>
              <w:t>ами</w:t>
            </w:r>
            <w:r w:rsidRPr="008E16A3">
              <w:rPr>
                <w:sz w:val="24"/>
                <w:szCs w:val="24"/>
              </w:rPr>
              <w:t xml:space="preserve">  сучасних лінгвістичних  досліджень,  навичками  інтерпретації  різних наукових  концепцій та сучасними  методами  лінгвістичного  аналізу</w:t>
            </w:r>
          </w:p>
          <w:p w14:paraId="28D0DD53" w14:textId="4B4C8991" w:rsidR="008E16A3" w:rsidRDefault="008E16A3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3 </w:t>
            </w:r>
            <w:r w:rsidRPr="008E16A3">
              <w:rPr>
                <w:sz w:val="24"/>
                <w:szCs w:val="24"/>
              </w:rPr>
              <w:t xml:space="preserve">Застосовувати набуті знання для огляду основних </w:t>
            </w:r>
            <w:r w:rsidRPr="008E16A3">
              <w:rPr>
                <w:sz w:val="24"/>
                <w:szCs w:val="24"/>
              </w:rPr>
              <w:lastRenderedPageBreak/>
              <w:t>тенденцій у сучасній лінгвістиці</w:t>
            </w:r>
          </w:p>
          <w:p w14:paraId="52465A0A" w14:textId="2E617A88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4 Р</w:t>
            </w:r>
            <w:r w:rsidRPr="003421A6">
              <w:rPr>
                <w:sz w:val="24"/>
                <w:szCs w:val="24"/>
                <w:lang w:eastAsia="en-US"/>
              </w:rPr>
              <w:t>озуміти лінгвістику як науку, що вивчає структуру і функціонування мови</w:t>
            </w:r>
          </w:p>
          <w:p w14:paraId="6FC79456" w14:textId="4C269FD3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5 </w:t>
            </w:r>
            <w:r w:rsidRPr="008E16A3">
              <w:rPr>
                <w:sz w:val="24"/>
                <w:szCs w:val="24"/>
              </w:rPr>
              <w:t>Володіти  навичками  інтерпретації  різних  наукових  концепцій</w:t>
            </w:r>
          </w:p>
          <w:p w14:paraId="5692A99E" w14:textId="05E0BF04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6 Визначати і х</w:t>
            </w:r>
            <w:r w:rsidRPr="008E16A3">
              <w:rPr>
                <w:sz w:val="24"/>
                <w:szCs w:val="24"/>
              </w:rPr>
              <w:t xml:space="preserve">арактеризувати  коло  теоретичних  проблем,  які  стосуються  </w:t>
            </w:r>
            <w:r>
              <w:rPr>
                <w:sz w:val="24"/>
                <w:szCs w:val="24"/>
              </w:rPr>
              <w:t xml:space="preserve">функційного </w:t>
            </w:r>
            <w:r w:rsidRPr="008E16A3">
              <w:rPr>
                <w:sz w:val="24"/>
                <w:szCs w:val="24"/>
              </w:rPr>
              <w:t>напряму в лінгвістиці</w:t>
            </w:r>
          </w:p>
          <w:p w14:paraId="2A3774A5" w14:textId="7136B81D" w:rsidR="00D7334F" w:rsidRPr="005A798B" w:rsidRDefault="008E16A3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7 Аналізувати й шукати шляхи вирішення актуальних проблем лінгвістики</w:t>
            </w:r>
          </w:p>
        </w:tc>
      </w:tr>
      <w:tr w:rsidR="00D7334F" w14:paraId="51CE4CD4" w14:textId="77777777" w:rsidTr="0077470D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6101" w:type="dxa"/>
          </w:tcPr>
          <w:p w14:paraId="7BB4D0F0" w14:textId="77777777" w:rsidR="00B40096" w:rsidRDefault="00B40096" w:rsidP="006A404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Лекції</w:t>
            </w:r>
          </w:p>
          <w:p w14:paraId="6271AFF3" w14:textId="7CABF418" w:rsidR="008E16A3" w:rsidRPr="008E16A3" w:rsidRDefault="0066705C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8E16A3" w:rsidRPr="008E16A3">
              <w:rPr>
                <w:sz w:val="24"/>
                <w:szCs w:val="24"/>
              </w:rPr>
              <w:t>Парадигми дослідження у сучасній лінгвістиці</w:t>
            </w:r>
          </w:p>
          <w:p w14:paraId="1830B84E" w14:textId="77777777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>Визначення наукової парадигми. Виділення мовознавчих парадигм у діахронії. Парадигмальна переорієнтація сучасного мовознавства. Методи сучасних лінгвістичних досліджень.</w:t>
            </w:r>
          </w:p>
          <w:p w14:paraId="4FB88D66" w14:textId="144A2CF8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>2. Когнітивна лінгвістика</w:t>
            </w:r>
          </w:p>
          <w:p w14:paraId="2C3114D7" w14:textId="77777777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 xml:space="preserve">Зародження когнітивної лінгвістики. Завдання когнітивної лінгвістики. Поняття категоризації й концептуалізації. Концептуальна картина світу. Концепт як центральне поняття сучасної антропологічної лінгвістики. Модус взаємовідношень між "поняттям", "значенням" та "концептом". Лексичні, фразеологічні й граматичні концепти. Концепти і категорії, їх формування і вербалізація.       </w:t>
            </w:r>
          </w:p>
          <w:p w14:paraId="0A9F63B2" w14:textId="324041B7" w:rsidR="0066705C" w:rsidRDefault="0066705C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8E16A3" w:rsidRPr="008E16A3">
              <w:rPr>
                <w:sz w:val="24"/>
                <w:szCs w:val="24"/>
              </w:rPr>
              <w:t>Структура концепту. Концептуальний аналіз. Типологія концептів</w:t>
            </w:r>
          </w:p>
          <w:p w14:paraId="71F94143" w14:textId="2029DE11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>Мовні значення як певні концептуалізації. Когнітивна граматика за Р.</w:t>
            </w:r>
            <w:r w:rsidR="0066705C">
              <w:rPr>
                <w:sz w:val="24"/>
                <w:szCs w:val="24"/>
              </w:rPr>
              <w:t> </w:t>
            </w:r>
            <w:r w:rsidRPr="008E16A3">
              <w:rPr>
                <w:sz w:val="24"/>
                <w:szCs w:val="24"/>
              </w:rPr>
              <w:t>Ленекером. Концептуальний аналіз семантики мовних одиниць</w:t>
            </w:r>
            <w:r w:rsidR="0066705C">
              <w:rPr>
                <w:sz w:val="24"/>
                <w:szCs w:val="24"/>
              </w:rPr>
              <w:t>.</w:t>
            </w:r>
            <w:r w:rsidRPr="008E16A3">
              <w:rPr>
                <w:sz w:val="24"/>
                <w:szCs w:val="24"/>
              </w:rPr>
              <w:t xml:space="preserve"> Теорія когнітивних моделей (фреймова семантика). Концептуальна метафора та концептуальна метонімія Теорія семантичних прототипів. Когнітивна теорія літератури (когнітивна поетика).</w:t>
            </w:r>
          </w:p>
          <w:p w14:paraId="5CB08835" w14:textId="08A88DE8" w:rsidR="008E16A3" w:rsidRPr="008E16A3" w:rsidRDefault="0066705C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16A3" w:rsidRPr="008E16A3">
              <w:rPr>
                <w:sz w:val="24"/>
                <w:szCs w:val="24"/>
              </w:rPr>
              <w:t>. Лінгвокультурологія як галузь мовознавства</w:t>
            </w:r>
          </w:p>
          <w:p w14:paraId="1CDC9036" w14:textId="77777777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>Співвідношення понять мова і культура. Предмет лінгвокультурології. Основні категорії лінгвокультурологічного аналізу: лінгвокультурема,  лінгвокультурологічне поле. Лінгвокультурологічний аналіз текстів. Напрями дослідження лінгвокультурологічного концепту.</w:t>
            </w:r>
          </w:p>
          <w:p w14:paraId="78542D8A" w14:textId="54D2A053" w:rsidR="008E16A3" w:rsidRPr="008E16A3" w:rsidRDefault="0066705C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16A3" w:rsidRPr="008E16A3">
              <w:rPr>
                <w:sz w:val="24"/>
                <w:szCs w:val="24"/>
              </w:rPr>
              <w:t>.  Проблема «картини світу»</w:t>
            </w:r>
          </w:p>
          <w:p w14:paraId="2896FEB3" w14:textId="68C4276B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>Визначення онтології поняття "мовна картина світу" . Типологія мовних картин світу. Мовна картина світу (МКС)/наукова картина світу (НКС). Національно-мовна картина світу. Етноцентризм.</w:t>
            </w:r>
          </w:p>
          <w:p w14:paraId="31001C33" w14:textId="45792D7B" w:rsidR="008E16A3" w:rsidRPr="008E16A3" w:rsidRDefault="0066705C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6A3" w:rsidRPr="008E16A3">
              <w:rPr>
                <w:sz w:val="24"/>
                <w:szCs w:val="24"/>
              </w:rPr>
              <w:t>. Комунікативна лінгвістика</w:t>
            </w:r>
          </w:p>
          <w:p w14:paraId="6C6D5C0E" w14:textId="77777777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 xml:space="preserve">Комунікативна лінгвістика як новий напрям сучасних мовознавчих досліджень. Предмет комунікативної лінгвістики. Комунікація як центральне поняття комунікативної лінгвістики. Компоненти комунікації. Поняття "мовна особистість". Поняття комунікативної </w:t>
            </w:r>
            <w:r w:rsidRPr="008E16A3">
              <w:rPr>
                <w:sz w:val="24"/>
                <w:szCs w:val="24"/>
              </w:rPr>
              <w:lastRenderedPageBreak/>
              <w:t>компетенції. Прецедентні тексти. Роль "людського  фактору" в  антропоцентричній лінгвістиці. Комунікативна поведінка й мовленнєвий етикет.</w:t>
            </w:r>
          </w:p>
          <w:p w14:paraId="0703E22D" w14:textId="5A930CEE" w:rsidR="008E16A3" w:rsidRPr="008E16A3" w:rsidRDefault="0066705C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16A3" w:rsidRPr="008E16A3">
              <w:rPr>
                <w:sz w:val="24"/>
                <w:szCs w:val="24"/>
              </w:rPr>
              <w:t>. Дискурсологія</w:t>
            </w:r>
          </w:p>
          <w:p w14:paraId="537B5D38" w14:textId="77777777" w:rsidR="008E16A3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>Визначення дискурсу. Лінгвістичне розуміння дискурсу в зарубіжних дослідженнях. Дискурс і текст. Дискурсологія: напрями розвитку й суміжні дисципліни. Аналіз  дискурсу. Напрям  критичного дискурс-аналізу. Структура дискурсу. Типологія дискурсу. Персональний (індивідуально-орієнтований)  та  інституційний дискурс. Дискурсивний аналіз як нова лінгвістична дисципліна.</w:t>
            </w:r>
          </w:p>
          <w:p w14:paraId="7BC43CDF" w14:textId="77777777" w:rsidR="0066705C" w:rsidRDefault="0066705C" w:rsidP="008E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16A3" w:rsidRPr="008E16A3">
              <w:rPr>
                <w:sz w:val="24"/>
                <w:szCs w:val="24"/>
              </w:rPr>
              <w:t>. Лінгвістика тексту</w:t>
            </w:r>
          </w:p>
          <w:p w14:paraId="26CA56FB" w14:textId="794233A5" w:rsidR="00B40096" w:rsidRPr="008E16A3" w:rsidRDefault="008E16A3" w:rsidP="008E16A3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>Становлення лінгвістики тексту. Об’єкт, предмет та напрями досліджень. Тексти як об’єкт лінгвістики тексту. Напрями  дослідження лінгвістики тексту.  Текст і текстема. Типологія текстових категорій. Зв’язність  тексту.  Інформативність  як  текстова  категорія.  Текстова  категорія  оцінки.  Референційність як текстова  категорія.  Інтертекстуальність.  Імпліцитний  план  тексту. Типи  імплікації: імплікатури,  підтекст,  пресупозиції й  фонові  знання.  Герменевтика. Герменевтичні принципи.  Проблеми інтерпретації тексту. Методи дослідження тексту.</w:t>
            </w:r>
          </w:p>
          <w:p w14:paraId="793C3579" w14:textId="77777777" w:rsidR="008E16A3" w:rsidRDefault="008E16A3" w:rsidP="008E16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F41DA42" w14:textId="77777777" w:rsidR="00B40096" w:rsidRDefault="00B40096" w:rsidP="006A404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Pr="00B40096">
              <w:rPr>
                <w:b/>
                <w:bCs/>
                <w:i/>
                <w:iCs/>
                <w:sz w:val="24"/>
                <w:szCs w:val="24"/>
              </w:rPr>
              <w:t>рактичн</w:t>
            </w:r>
            <w:r>
              <w:rPr>
                <w:b/>
                <w:bCs/>
                <w:i/>
                <w:iCs/>
                <w:sz w:val="24"/>
                <w:szCs w:val="24"/>
              </w:rPr>
              <w:t>і</w:t>
            </w:r>
            <w:r w:rsidRPr="00B40096">
              <w:rPr>
                <w:b/>
                <w:bCs/>
                <w:i/>
                <w:iCs/>
                <w:sz w:val="24"/>
                <w:szCs w:val="24"/>
              </w:rPr>
              <w:t xml:space="preserve"> занят</w:t>
            </w:r>
            <w:r>
              <w:rPr>
                <w:b/>
                <w:bCs/>
                <w:i/>
                <w:iCs/>
                <w:sz w:val="24"/>
                <w:szCs w:val="24"/>
              </w:rPr>
              <w:t>тя</w:t>
            </w:r>
          </w:p>
          <w:p w14:paraId="7655BA18" w14:textId="491B6492" w:rsidR="001612E5" w:rsidRDefault="001612E5" w:rsidP="001612E5">
            <w:pPr>
              <w:jc w:val="both"/>
            </w:pPr>
            <w:r>
              <w:rPr>
                <w:sz w:val="24"/>
                <w:szCs w:val="24"/>
              </w:rPr>
              <w:t>1. </w:t>
            </w:r>
            <w:r w:rsidRPr="008E16A3">
              <w:rPr>
                <w:sz w:val="24"/>
                <w:szCs w:val="24"/>
              </w:rPr>
              <w:t>Виділення мовознавчих парадигм у діахронії.</w:t>
            </w:r>
          </w:p>
          <w:p w14:paraId="51D1200E" w14:textId="48A18836" w:rsidR="001612E5" w:rsidRDefault="001612E5" w:rsidP="001612E5">
            <w:pPr>
              <w:jc w:val="both"/>
            </w:pPr>
            <w:r>
              <w:rPr>
                <w:sz w:val="24"/>
                <w:szCs w:val="24"/>
              </w:rPr>
              <w:t>2. </w:t>
            </w:r>
            <w:r w:rsidRPr="008E16A3">
              <w:rPr>
                <w:sz w:val="24"/>
                <w:szCs w:val="24"/>
              </w:rPr>
              <w:t xml:space="preserve">Модус взаємовідношень між "поняттям", "значенням" та "концептом". Лексичні, фразеологічні й граматичні концепти. Концепти і категорії, їх формування і вербалізація.       </w:t>
            </w:r>
          </w:p>
          <w:p w14:paraId="5EC7A44F" w14:textId="08EF3434" w:rsidR="001612E5" w:rsidRPr="008E16A3" w:rsidRDefault="001612E5" w:rsidP="0016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8E16A3">
              <w:rPr>
                <w:sz w:val="24"/>
                <w:szCs w:val="24"/>
              </w:rPr>
              <w:t>Когнітивна теорія літератури (когнітивна поетика).</w:t>
            </w:r>
          </w:p>
          <w:p w14:paraId="2BF741C4" w14:textId="6E61E967" w:rsidR="001612E5" w:rsidRPr="008E16A3" w:rsidRDefault="001612E5" w:rsidP="0016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8E16A3">
              <w:rPr>
                <w:sz w:val="24"/>
                <w:szCs w:val="24"/>
              </w:rPr>
              <w:t>Лінгвокультурологічний аналіз текстів. Напрями дослідження лінгвокультурологічного концепту.</w:t>
            </w:r>
          </w:p>
          <w:p w14:paraId="47A2D897" w14:textId="752BC849" w:rsidR="001612E5" w:rsidRPr="008E16A3" w:rsidRDefault="001612E5" w:rsidP="0016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8E16A3">
              <w:rPr>
                <w:sz w:val="24"/>
                <w:szCs w:val="24"/>
              </w:rPr>
              <w:t>Національно-мовна картина світу. Етноцентризм.</w:t>
            </w:r>
          </w:p>
          <w:p w14:paraId="08FEB457" w14:textId="77777777" w:rsidR="001612E5" w:rsidRDefault="001612E5" w:rsidP="001612E5">
            <w:pPr>
              <w:jc w:val="both"/>
              <w:rPr>
                <w:sz w:val="24"/>
                <w:szCs w:val="24"/>
              </w:rPr>
            </w:pPr>
            <w:r w:rsidRPr="008E16A3">
              <w:rPr>
                <w:sz w:val="24"/>
                <w:szCs w:val="24"/>
              </w:rPr>
              <w:t xml:space="preserve">Прецедентні тексти. Роль "людського  фактору" в  антропоцентричній лінгвістиці. </w:t>
            </w:r>
          </w:p>
          <w:p w14:paraId="4D5BF145" w14:textId="3DF0D9EB" w:rsidR="001612E5" w:rsidRPr="008E16A3" w:rsidRDefault="001612E5" w:rsidP="0016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8E16A3">
              <w:rPr>
                <w:sz w:val="24"/>
                <w:szCs w:val="24"/>
              </w:rPr>
              <w:t>Комунікативна поведінка й мовленнєвий етикет.</w:t>
            </w:r>
          </w:p>
          <w:p w14:paraId="5B43CACB" w14:textId="783AED75" w:rsidR="001612E5" w:rsidRDefault="001612E5" w:rsidP="001612E5">
            <w:pPr>
              <w:jc w:val="both"/>
            </w:pPr>
            <w:r>
              <w:rPr>
                <w:sz w:val="24"/>
                <w:szCs w:val="24"/>
              </w:rPr>
              <w:t>7. </w:t>
            </w:r>
            <w:r w:rsidRPr="008E16A3">
              <w:rPr>
                <w:sz w:val="24"/>
                <w:szCs w:val="24"/>
              </w:rPr>
              <w:t>Дискурсивний аналіз як нова лінгвістична дисципліна.</w:t>
            </w:r>
          </w:p>
          <w:p w14:paraId="40A9EBF7" w14:textId="1709E75D" w:rsidR="008927D3" w:rsidRPr="00B40096" w:rsidRDefault="001612E5" w:rsidP="0016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Pr="008E16A3">
              <w:rPr>
                <w:sz w:val="24"/>
                <w:szCs w:val="24"/>
              </w:rPr>
              <w:t>Герменевтика. Герменевтичні принципи.  Проблеми інтерпретації тексту. Методи дослідження тексту.</w:t>
            </w:r>
          </w:p>
        </w:tc>
      </w:tr>
      <w:tr w:rsidR="00D7334F" w14:paraId="1E8C769B" w14:textId="77777777" w:rsidTr="0077470D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6101" w:type="dxa"/>
          </w:tcPr>
          <w:p w14:paraId="2B151C78" w14:textId="77777777" w:rsidR="009A20CB" w:rsidRPr="004E6D75" w:rsidRDefault="009A20CB" w:rsidP="009A20CB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формується за 100-бальною шкалою як сума оцінок поточних контролів (ПК1 та ПК2)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поточних контролів становлять:</w:t>
            </w:r>
            <w:r>
              <w:rPr>
                <w:rFonts w:cs="Times New Roman"/>
                <w:sz w:val="24"/>
                <w:szCs w:val="24"/>
              </w:rPr>
              <w:t xml:space="preserve"> ПК1 – 50 балів, ПК2 – 50 балів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60% від зазначеного максимального обсягу.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64E11CA7" w14:textId="77777777" w:rsidR="009A20CB" w:rsidRDefault="009A20CB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817A7C8" w14:textId="63AAD7A7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19545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 – 40; </w:t>
            </w:r>
            <w:r>
              <w:rPr>
                <w:rFonts w:cs="Times New Roman"/>
                <w:sz w:val="24"/>
                <w:szCs w:val="24"/>
              </w:rPr>
              <w:lastRenderedPageBreak/>
              <w:t>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77470D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6101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77470D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6101" w:type="dxa"/>
          </w:tcPr>
          <w:p w14:paraId="11D7996B" w14:textId="796FA9B8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 w:rsidR="009A20CB"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77470D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101" w:type="dxa"/>
          </w:tcPr>
          <w:p w14:paraId="572E6816" w14:textId="77777777" w:rsidR="001612E5" w:rsidRPr="001612E5" w:rsidRDefault="001612E5" w:rsidP="001612E5">
            <w:pPr>
              <w:pStyle w:val="5"/>
            </w:pPr>
            <w:r w:rsidRPr="001612E5">
              <w:t>Основна</w:t>
            </w:r>
          </w:p>
          <w:p w14:paraId="26F5F111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C1D6A">
              <w:rPr>
                <w:sz w:val="24"/>
                <w:szCs w:val="24"/>
                <w:lang w:val="en-US"/>
              </w:rPr>
              <w:t>Lakoff G. Tne contemporary theory of metaph</w:t>
            </w:r>
            <w:r w:rsidRPr="009C1D6A">
              <w:rPr>
                <w:sz w:val="24"/>
                <w:szCs w:val="24"/>
              </w:rPr>
              <w:t>о</w:t>
            </w:r>
            <w:r w:rsidRPr="009C1D6A">
              <w:rPr>
                <w:sz w:val="24"/>
                <w:szCs w:val="24"/>
                <w:lang w:val="en-US"/>
              </w:rPr>
              <w:t>r // Metapher and Thought. – Cambridge (Mass.): Cambridge University Press, 1993. –  P. 202-251.</w:t>
            </w:r>
          </w:p>
          <w:p w14:paraId="2D97E2C1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C1D6A">
              <w:rPr>
                <w:sz w:val="24"/>
                <w:szCs w:val="24"/>
                <w:lang w:val="en-US"/>
              </w:rPr>
              <w:t>Wierzbicka A. Semantics, Culture and Cognition. Universal Human Concepts in Culture. Specific Configurations. – Oxford: Oxford Univ. Press, 1992.</w:t>
            </w:r>
          </w:p>
          <w:p w14:paraId="35244E70" w14:textId="7B47AFDB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</w:rPr>
              <w:t>Бацевич Ф.С. Основи комунікативної лінгвістики. К:</w:t>
            </w:r>
            <w:r w:rsidRPr="009C1D6A">
              <w:rPr>
                <w:sz w:val="24"/>
                <w:szCs w:val="24"/>
                <w:lang w:val="ru-RU"/>
              </w:rPr>
              <w:t xml:space="preserve"> </w:t>
            </w:r>
            <w:r w:rsidRPr="009C1D6A">
              <w:rPr>
                <w:sz w:val="24"/>
                <w:szCs w:val="24"/>
              </w:rPr>
              <w:t xml:space="preserve">Академія, 2004. – </w:t>
            </w:r>
            <w:r w:rsidRPr="009C1D6A">
              <w:rPr>
                <w:sz w:val="24"/>
                <w:szCs w:val="24"/>
                <w:lang w:val="ru-RU"/>
              </w:rPr>
              <w:t xml:space="preserve"> </w:t>
            </w:r>
            <w:r w:rsidRPr="009C1D6A">
              <w:rPr>
                <w:sz w:val="24"/>
                <w:szCs w:val="24"/>
              </w:rPr>
              <w:t>343 с.</w:t>
            </w:r>
          </w:p>
          <w:p w14:paraId="14E29AE4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</w:rPr>
              <w:t>Бєлєхова Л.І. Сучасний підхід до інтерпретації художнього тексту // Наук. вісник Херсонського держ. ун-ту. Сер.: „Лінгвістика”: Зб. наук. пр. – Херсон: Вид-во ХДУ, 2006. – Вип.ІУ. − С. 288-292.</w:t>
            </w:r>
          </w:p>
          <w:p w14:paraId="545CC98F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</w:rPr>
              <w:t>Бєлова А. Д. Лінгвістичні перспективи і прогнози у ХХІ столітті / А. Д. Бєлова // Лінгвістика ХХІ століття: нові дослідження і перспективи. – К. – 2006. – № 1. – С. 27.</w:t>
            </w:r>
          </w:p>
          <w:p w14:paraId="041E092C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612E5">
              <w:rPr>
                <w:sz w:val="24"/>
                <w:szCs w:val="24"/>
              </w:rPr>
              <w:t xml:space="preserve">Голик С.В. Мовна особистість як об’єкт лінгвокультурологічних досліджень/С.В. Голик // </w:t>
            </w:r>
            <w:r w:rsidRPr="001612E5">
              <w:rPr>
                <w:sz w:val="24"/>
                <w:szCs w:val="24"/>
              </w:rPr>
              <w:lastRenderedPageBreak/>
              <w:t xml:space="preserve">Вісник Львівського університету. </w:t>
            </w:r>
            <w:r w:rsidRPr="0019545C">
              <w:rPr>
                <w:sz w:val="24"/>
                <w:szCs w:val="24"/>
              </w:rPr>
              <w:t xml:space="preserve">Серія Іноземні мови: Збірник наукових праць. – Львів: Вид-во ЛНУ ім. </w:t>
            </w:r>
            <w:r w:rsidRPr="009C1D6A">
              <w:rPr>
                <w:sz w:val="24"/>
                <w:szCs w:val="24"/>
                <w:lang w:val="ru-RU"/>
              </w:rPr>
              <w:t>І.Франка, 2013 - Вип. 21.- С. 258–264.</w:t>
            </w:r>
          </w:p>
          <w:p w14:paraId="0F528FA4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C1D6A">
              <w:rPr>
                <w:sz w:val="24"/>
                <w:szCs w:val="24"/>
                <w:lang w:val="ru-RU"/>
              </w:rPr>
              <w:t>Голубовська І.Р. Актуальні проблеми сучасної лінгвістики : курс лекцій / І. О. Голубовська, І. Р. Корольов. – К. : Видавничо-поліграфічний центр "Київський університет", 2011. – 223 с.</w:t>
            </w:r>
          </w:p>
          <w:p w14:paraId="2B528ABA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</w:rPr>
              <w:t>Денисова С.П. Картина світу та суміжні поняття в зіставних дослідження // Проблеми зіставної сематики: Зб. наук. ст. – Київ: Видав. центр КНЛУ, 2007. – Випуск 8. –   С. 9 -15.</w:t>
            </w:r>
          </w:p>
          <w:p w14:paraId="18A0CBD4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  <w:lang w:val="ru-RU"/>
              </w:rPr>
              <w:t xml:space="preserve">Жаботинская С.А. Когнитивная лингвистика: принципы концептуального моделирования // </w:t>
            </w:r>
            <w:r w:rsidRPr="009C1D6A">
              <w:rPr>
                <w:sz w:val="24"/>
                <w:szCs w:val="24"/>
              </w:rPr>
              <w:t>Лінгвістичні студії</w:t>
            </w:r>
            <w:r w:rsidRPr="009C1D6A">
              <w:rPr>
                <w:sz w:val="24"/>
                <w:szCs w:val="24"/>
                <w:lang w:val="ru-RU"/>
              </w:rPr>
              <w:t>. – Черкаси</w:t>
            </w:r>
            <w:r w:rsidRPr="009C1D6A">
              <w:rPr>
                <w:sz w:val="24"/>
                <w:szCs w:val="24"/>
              </w:rPr>
              <w:t>, 1997. – С. 3-11.</w:t>
            </w:r>
          </w:p>
          <w:p w14:paraId="6BB837B7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</w:rPr>
              <w:t>Іваненко С.М., Карпусь А.К. Лінгвостилістична інтерпретація тексту (для факультетів іноземних мов університетів і педагогічних вищих закладів освіти): Підручник. – К.: КДЛУ, 1998.</w:t>
            </w:r>
          </w:p>
          <w:p w14:paraId="5BD7B970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C1D6A">
              <w:rPr>
                <w:sz w:val="24"/>
                <w:szCs w:val="24"/>
                <w:lang w:val="ru-RU"/>
              </w:rPr>
              <w:t>Селиванова Е.А</w:t>
            </w:r>
            <w:r w:rsidRPr="009C1D6A">
              <w:rPr>
                <w:i/>
                <w:sz w:val="24"/>
                <w:szCs w:val="24"/>
                <w:lang w:val="ru-RU"/>
              </w:rPr>
              <w:t>.</w:t>
            </w:r>
            <w:r w:rsidRPr="009C1D6A">
              <w:rPr>
                <w:sz w:val="24"/>
                <w:szCs w:val="24"/>
                <w:lang w:val="ru-RU"/>
              </w:rPr>
              <w:t xml:space="preserve"> Теоретические основы когнитивной ономасиологии // Вісник Черкаського університету. – Черкаси, 1999. – Вип.11. –– </w:t>
            </w:r>
            <w:r w:rsidRPr="009C1D6A">
              <w:rPr>
                <w:sz w:val="24"/>
                <w:szCs w:val="24"/>
                <w:lang w:val="en-US"/>
              </w:rPr>
              <w:t>C</w:t>
            </w:r>
            <w:r w:rsidRPr="009C1D6A">
              <w:rPr>
                <w:sz w:val="24"/>
                <w:szCs w:val="24"/>
                <w:lang w:val="ru-RU"/>
              </w:rPr>
              <w:t>. 3-12.</w:t>
            </w:r>
          </w:p>
          <w:p w14:paraId="7DF1E89B" w14:textId="77777777" w:rsidR="001612E5" w:rsidRPr="009C1D6A" w:rsidRDefault="001612E5" w:rsidP="001612E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  <w:lang w:val="ru-RU"/>
              </w:rPr>
              <w:t>Селіванова О.О. Сучасна лінгвістика: напрями та проблеми. − Полтава: Довкілля-К, 2008</w:t>
            </w:r>
            <w:r w:rsidRPr="009C1D6A">
              <w:rPr>
                <w:sz w:val="24"/>
                <w:szCs w:val="24"/>
              </w:rPr>
              <w:t>.</w:t>
            </w:r>
          </w:p>
          <w:p w14:paraId="4AFC8A29" w14:textId="77777777" w:rsidR="001612E5" w:rsidRDefault="001612E5" w:rsidP="001612E5">
            <w:pPr>
              <w:contextualSpacing/>
              <w:rPr>
                <w:sz w:val="24"/>
                <w:szCs w:val="24"/>
                <w:lang w:val="ru-RU"/>
              </w:rPr>
            </w:pPr>
          </w:p>
          <w:p w14:paraId="6C44C017" w14:textId="102DE024" w:rsidR="001612E5" w:rsidRPr="001612E5" w:rsidRDefault="001612E5" w:rsidP="001612E5">
            <w:pPr>
              <w:pStyle w:val="5"/>
            </w:pPr>
            <w:r w:rsidRPr="001612E5">
              <w:t>Додаткова</w:t>
            </w:r>
          </w:p>
          <w:p w14:paraId="248A1736" w14:textId="77777777" w:rsidR="001612E5" w:rsidRPr="009C1D6A" w:rsidRDefault="001612E5" w:rsidP="001612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</w:rPr>
              <w:t xml:space="preserve">Бєлєхова Л.І. Образний простір американської поезії: лінгвокогнітивний аспект: Автореф. дис. ... доктора філол. наук: 10.02.04 / Київськ. націон. лінгвіст. ун-т. </w:t>
            </w:r>
            <w:r w:rsidRPr="009C1D6A">
              <w:rPr>
                <w:sz w:val="24"/>
                <w:szCs w:val="24"/>
                <w:lang w:val="en-US"/>
              </w:rPr>
              <w:sym w:font="Symbol" w:char="F02D"/>
            </w:r>
            <w:r w:rsidRPr="009C1D6A">
              <w:rPr>
                <w:sz w:val="24"/>
                <w:szCs w:val="24"/>
              </w:rPr>
              <w:t xml:space="preserve"> Київ, 2002. </w:t>
            </w:r>
            <w:r w:rsidRPr="009C1D6A">
              <w:rPr>
                <w:sz w:val="24"/>
                <w:szCs w:val="24"/>
                <w:lang w:val="en-US"/>
              </w:rPr>
              <w:sym w:font="Symbol" w:char="F02D"/>
            </w:r>
            <w:r w:rsidRPr="009C1D6A">
              <w:rPr>
                <w:sz w:val="24"/>
                <w:szCs w:val="24"/>
              </w:rPr>
              <w:t xml:space="preserve"> 34 с.</w:t>
            </w:r>
          </w:p>
          <w:p w14:paraId="6F0D43E5" w14:textId="46EE01F2" w:rsidR="009A20CB" w:rsidRPr="001612E5" w:rsidRDefault="001612E5" w:rsidP="001612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C1D6A">
              <w:rPr>
                <w:sz w:val="24"/>
                <w:szCs w:val="24"/>
              </w:rPr>
              <w:t>Ковбасюк Л.А. Фразеологічні одиниці з компонентом “кольороназва” як елементи національно-мовної картини світу (на матеріалі німецької  та англійської мов) // Проблеми зіставної сематики: Зб. наук. ст. – Київ: Видав. центр КНЛУ, 2005. – Випуск 7. –  С. 267 – 273.</w:t>
            </w:r>
          </w:p>
        </w:tc>
      </w:tr>
    </w:tbl>
    <w:p w14:paraId="75565482" w14:textId="77777777" w:rsidR="00D7334F" w:rsidRPr="009A20CB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p w14:paraId="54EA51D3" w14:textId="77777777" w:rsidR="0077470D" w:rsidRDefault="0077470D"/>
    <w:sectPr w:rsidR="0077470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B481" w14:textId="77777777" w:rsidR="001D6EF6" w:rsidRDefault="001D6EF6">
      <w:r>
        <w:separator/>
      </w:r>
    </w:p>
  </w:endnote>
  <w:endnote w:type="continuationSeparator" w:id="0">
    <w:p w14:paraId="24BF0BE6" w14:textId="77777777" w:rsidR="001D6EF6" w:rsidRDefault="001D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9E08" w14:textId="77777777" w:rsidR="001D6EF6" w:rsidRDefault="001D6EF6">
      <w:r>
        <w:separator/>
      </w:r>
    </w:p>
  </w:footnote>
  <w:footnote w:type="continuationSeparator" w:id="0">
    <w:p w14:paraId="124981DC" w14:textId="77777777" w:rsidR="001D6EF6" w:rsidRDefault="001D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F59"/>
    <w:multiLevelType w:val="hybridMultilevel"/>
    <w:tmpl w:val="BD90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260"/>
    <w:multiLevelType w:val="hybridMultilevel"/>
    <w:tmpl w:val="5E1A8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1693"/>
    <w:multiLevelType w:val="hybridMultilevel"/>
    <w:tmpl w:val="983CE25E"/>
    <w:name w:val="WW8Num32"/>
    <w:lvl w:ilvl="0" w:tplc="B8761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AE23595"/>
    <w:multiLevelType w:val="hybridMultilevel"/>
    <w:tmpl w:val="91AE5B3E"/>
    <w:name w:val="WW8Num12"/>
    <w:lvl w:ilvl="0" w:tplc="B05C41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560029"/>
    <w:multiLevelType w:val="hybridMultilevel"/>
    <w:tmpl w:val="843C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7"/>
  </w:num>
  <w:num w:numId="2" w16cid:durableId="1150705726">
    <w:abstractNumId w:val="10"/>
  </w:num>
  <w:num w:numId="3" w16cid:durableId="1785077150">
    <w:abstractNumId w:val="3"/>
  </w:num>
  <w:num w:numId="4" w16cid:durableId="1913003617">
    <w:abstractNumId w:val="2"/>
  </w:num>
  <w:num w:numId="5" w16cid:durableId="641034384">
    <w:abstractNumId w:val="5"/>
  </w:num>
  <w:num w:numId="6" w16cid:durableId="1583683797">
    <w:abstractNumId w:val="6"/>
  </w:num>
  <w:num w:numId="7" w16cid:durableId="883752977">
    <w:abstractNumId w:val="8"/>
  </w:num>
  <w:num w:numId="8" w16cid:durableId="24402919">
    <w:abstractNumId w:val="4"/>
  </w:num>
  <w:num w:numId="9" w16cid:durableId="812648200">
    <w:abstractNumId w:val="9"/>
  </w:num>
  <w:num w:numId="10" w16cid:durableId="1805923227">
    <w:abstractNumId w:val="0"/>
  </w:num>
  <w:num w:numId="11" w16cid:durableId="654456634">
    <w:abstractNumId w:val="1"/>
  </w:num>
  <w:num w:numId="12" w16cid:durableId="1324896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1612E5"/>
    <w:rsid w:val="0019545C"/>
    <w:rsid w:val="001D6EF6"/>
    <w:rsid w:val="00202FC2"/>
    <w:rsid w:val="00206FA0"/>
    <w:rsid w:val="00220DC0"/>
    <w:rsid w:val="00262DCD"/>
    <w:rsid w:val="0026318C"/>
    <w:rsid w:val="0037017C"/>
    <w:rsid w:val="003D560A"/>
    <w:rsid w:val="00422644"/>
    <w:rsid w:val="00533ABE"/>
    <w:rsid w:val="005A6663"/>
    <w:rsid w:val="005A798B"/>
    <w:rsid w:val="005B4AAB"/>
    <w:rsid w:val="005E4773"/>
    <w:rsid w:val="00606312"/>
    <w:rsid w:val="006079B2"/>
    <w:rsid w:val="0066705C"/>
    <w:rsid w:val="006A4048"/>
    <w:rsid w:val="006C41BD"/>
    <w:rsid w:val="0077470D"/>
    <w:rsid w:val="008200D6"/>
    <w:rsid w:val="008927D3"/>
    <w:rsid w:val="008C0B19"/>
    <w:rsid w:val="008E16A3"/>
    <w:rsid w:val="009A20CB"/>
    <w:rsid w:val="009C59F1"/>
    <w:rsid w:val="00A72F5B"/>
    <w:rsid w:val="00AB4410"/>
    <w:rsid w:val="00B02574"/>
    <w:rsid w:val="00B31B19"/>
    <w:rsid w:val="00B40096"/>
    <w:rsid w:val="00CA1617"/>
    <w:rsid w:val="00D06913"/>
    <w:rsid w:val="00D13E18"/>
    <w:rsid w:val="00D724FD"/>
    <w:rsid w:val="00D7334F"/>
    <w:rsid w:val="00EE5B38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1612E5"/>
    <w:pPr>
      <w:keepNext/>
      <w:contextualSpacing/>
      <w:outlineLvl w:val="4"/>
    </w:pPr>
    <w:rPr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FontStyle11">
    <w:name w:val="Font Style11"/>
    <w:rsid w:val="009A20C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1612E5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0FE2-185E-41FE-B8FD-101F3FF0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19</cp:revision>
  <dcterms:created xsi:type="dcterms:W3CDTF">2023-01-03T12:39:00Z</dcterms:created>
  <dcterms:modified xsi:type="dcterms:W3CDTF">2023-12-21T16:07:00Z</dcterms:modified>
</cp:coreProperties>
</file>