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38BCABD2" w:rsidR="00D7334F" w:rsidRPr="00260DB9" w:rsidRDefault="00260DB9" w:rsidP="00A7215D">
            <w:pPr>
              <w:jc w:val="center"/>
              <w:rPr>
                <w:sz w:val="24"/>
                <w:szCs w:val="24"/>
                <w:lang w:val="ru-RU"/>
              </w:rPr>
            </w:pPr>
            <w:r w:rsidRPr="00260DB9">
              <w:rPr>
                <w:bCs/>
                <w:color w:val="244061"/>
                <w:sz w:val="24"/>
                <w:szCs w:val="24"/>
                <w:lang w:val="ru-RU"/>
              </w:rPr>
              <w:t>«</w:t>
            </w:r>
            <w:proofErr w:type="spellStart"/>
            <w:r w:rsidRPr="00260DB9">
              <w:rPr>
                <w:bCs/>
                <w:color w:val="244061"/>
                <w:sz w:val="24"/>
                <w:szCs w:val="24"/>
                <w:lang w:val="ru-RU"/>
              </w:rPr>
              <w:t>Соціолінгвістичні</w:t>
            </w:r>
            <w:proofErr w:type="spellEnd"/>
            <w:r w:rsidRPr="00260DB9">
              <w:rPr>
                <w:bCs/>
                <w:color w:val="24406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60DB9">
              <w:rPr>
                <w:bCs/>
                <w:color w:val="244061"/>
                <w:sz w:val="24"/>
                <w:szCs w:val="24"/>
                <w:lang w:val="ru-RU"/>
              </w:rPr>
              <w:t>прагматичні</w:t>
            </w:r>
            <w:proofErr w:type="spellEnd"/>
            <w:r w:rsidRPr="00260DB9">
              <w:rPr>
                <w:bCs/>
                <w:color w:val="24406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bCs/>
                <w:color w:val="244061"/>
                <w:sz w:val="24"/>
                <w:szCs w:val="24"/>
                <w:lang w:val="ru-RU"/>
              </w:rPr>
              <w:t>проблеми</w:t>
            </w:r>
            <w:proofErr w:type="spellEnd"/>
            <w:r w:rsidRPr="00260DB9">
              <w:rPr>
                <w:bCs/>
                <w:color w:val="244061"/>
                <w:sz w:val="24"/>
                <w:szCs w:val="24"/>
                <w:lang w:val="ru-RU"/>
              </w:rPr>
              <w:t xml:space="preserve"> перекладу</w:t>
            </w:r>
            <w:r>
              <w:rPr>
                <w:bCs/>
                <w:color w:val="244061"/>
                <w:sz w:val="24"/>
                <w:szCs w:val="24"/>
                <w:lang w:val="ru-RU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4C30DDB8" w:rsidR="00D7334F" w:rsidRDefault="00260DB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другий </w:t>
            </w:r>
            <w:r w:rsidR="00A72F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магісте</w:t>
            </w:r>
            <w:r w:rsidR="00220DC0">
              <w:rPr>
                <w:sz w:val="24"/>
                <w:szCs w:val="24"/>
              </w:rPr>
              <w:t>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7CD6D6C6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40A714C8" w:rsidR="00D7334F" w:rsidRDefault="00260DB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1F6616C5" w:rsidR="00D7334F" w:rsidRDefault="00A7215D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Боговик</w:t>
            </w:r>
            <w:proofErr w:type="spellEnd"/>
            <w:r>
              <w:rPr>
                <w:color w:val="000000"/>
                <w:spacing w:val="1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Аурелівна</w:t>
            </w:r>
            <w:proofErr w:type="spellEnd"/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proofErr w:type="spellStart"/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proofErr w:type="spellEnd"/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УДУНТ, вул. Лазаряна, 2,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ауд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3AB56A59" w14:textId="77777777" w:rsidR="00533ABE" w:rsidRPr="00260DB9" w:rsidRDefault="00260DB9" w:rsidP="00A7215D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Теорія перекладу</w:t>
            </w:r>
          </w:p>
          <w:p w14:paraId="5F5D5897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0DB9">
              <w:rPr>
                <w:sz w:val="24"/>
                <w:szCs w:val="24"/>
                <w:lang w:val="ru-RU"/>
              </w:rPr>
              <w:t>Теорія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та практика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міжкультурної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комунікації</w:t>
            </w:r>
            <w:proofErr w:type="spellEnd"/>
          </w:p>
          <w:p w14:paraId="1B1C8CB2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0DB9">
              <w:rPr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стратегії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перекладі</w:t>
            </w:r>
            <w:proofErr w:type="spellEnd"/>
          </w:p>
          <w:p w14:paraId="314E5B76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0DB9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лінгвістичного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підходу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дослідженнях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міжкультурної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комунікації</w:t>
            </w:r>
            <w:proofErr w:type="spellEnd"/>
          </w:p>
          <w:p w14:paraId="26178CB2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>Герменевтика тексту і контексту</w:t>
            </w:r>
          </w:p>
          <w:p w14:paraId="707D3F6F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 xml:space="preserve">Переклад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конференцій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англійська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мова)</w:t>
            </w:r>
          </w:p>
          <w:p w14:paraId="0FF77D10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0DB9">
              <w:rPr>
                <w:sz w:val="24"/>
                <w:szCs w:val="24"/>
                <w:lang w:val="ru-RU"/>
              </w:rPr>
              <w:t>Гендерні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дослідження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теорії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лінгвістики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</w:p>
          <w:p w14:paraId="24858C7B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60DB9">
              <w:rPr>
                <w:sz w:val="24"/>
                <w:szCs w:val="24"/>
                <w:lang w:val="ru-RU"/>
              </w:rPr>
              <w:t>Ділова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комунікація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та переклад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14:paraId="326B10F8" w14:textId="77777777" w:rsidR="00260DB9" w:rsidRPr="00260DB9" w:rsidRDefault="00260DB9" w:rsidP="00260DB9">
            <w:pPr>
              <w:jc w:val="both"/>
              <w:rPr>
                <w:sz w:val="24"/>
                <w:szCs w:val="24"/>
                <w:lang w:val="ru-RU"/>
              </w:rPr>
            </w:pPr>
            <w:r w:rsidRPr="00260DB9">
              <w:rPr>
                <w:sz w:val="24"/>
                <w:szCs w:val="24"/>
                <w:lang w:val="ru-RU"/>
              </w:rPr>
              <w:t xml:space="preserve">Переклад та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редагування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науково-технічних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текстів</w:t>
            </w:r>
            <w:proofErr w:type="spellEnd"/>
          </w:p>
          <w:p w14:paraId="1E0F5849" w14:textId="5076BC1B" w:rsidR="00260DB9" w:rsidRPr="00A7215D" w:rsidRDefault="00260DB9" w:rsidP="00260DB9">
            <w:pPr>
              <w:jc w:val="both"/>
              <w:rPr>
                <w:lang w:val="ru-RU"/>
              </w:rPr>
            </w:pPr>
            <w:proofErr w:type="spellStart"/>
            <w:r w:rsidRPr="00260DB9">
              <w:rPr>
                <w:sz w:val="24"/>
                <w:szCs w:val="24"/>
                <w:lang w:val="ru-RU"/>
              </w:rPr>
              <w:t>Педагогіка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вищої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і методика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викладання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0DB9">
              <w:rPr>
                <w:sz w:val="24"/>
                <w:szCs w:val="24"/>
                <w:lang w:val="ru-RU"/>
              </w:rPr>
              <w:t>іноземних</w:t>
            </w:r>
            <w:proofErr w:type="spellEnd"/>
            <w:r w:rsidRPr="00260DB9">
              <w:rPr>
                <w:sz w:val="24"/>
                <w:szCs w:val="24"/>
                <w:lang w:val="ru-RU"/>
              </w:rPr>
              <w:t xml:space="preserve"> мов та перекладу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2CA94C91" w:rsidR="00D7334F" w:rsidRPr="00260DB9" w:rsidRDefault="00260DB9" w:rsidP="00260DB9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b w:val="0"/>
                <w:sz w:val="24"/>
                <w:szCs w:val="24"/>
              </w:rPr>
            </w:pPr>
            <w:r w:rsidRPr="00260DB9">
              <w:rPr>
                <w:b w:val="0"/>
                <w:sz w:val="24"/>
                <w:szCs w:val="24"/>
              </w:rPr>
              <w:t xml:space="preserve">У курсі навчальної дисципліни «Соціолінгвістичні та прагматичні проблеми перекладу» викладено основні теоретичні питання для засвоєння практичних знань і навичок у галузі соціолінгвістичних, прагматичних та </w:t>
            </w:r>
            <w:proofErr w:type="spellStart"/>
            <w:r w:rsidRPr="00260DB9">
              <w:rPr>
                <w:b w:val="0"/>
                <w:sz w:val="24"/>
                <w:szCs w:val="24"/>
              </w:rPr>
              <w:t>лінгвокультурологічних</w:t>
            </w:r>
            <w:proofErr w:type="spellEnd"/>
            <w:r w:rsidRPr="00260DB9">
              <w:rPr>
                <w:b w:val="0"/>
                <w:sz w:val="24"/>
                <w:szCs w:val="24"/>
              </w:rPr>
              <w:t xml:space="preserve"> проблем перекладу, що представляють необхідну базу для самостійної науково-дослідної роботи студентів з їх основного фаху як письмового, так і усного перекладу.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14:paraId="4B01FAA5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1</w:t>
            </w:r>
            <w:r w:rsidRPr="00260DB9">
              <w:rPr>
                <w:sz w:val="24"/>
                <w:szCs w:val="24"/>
              </w:rPr>
              <w:tab/>
              <w:t>Класифікувати категорії ділової комунікації. Орієнтуватися в основних поняттях спецкурсу та адекватно обирати той чи інший прийом передачі певного стилістичного засобу при перекладі</w:t>
            </w:r>
          </w:p>
          <w:p w14:paraId="25F97A8A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2</w:t>
            </w:r>
            <w:r w:rsidRPr="00260DB9">
              <w:rPr>
                <w:sz w:val="24"/>
                <w:szCs w:val="24"/>
              </w:rPr>
              <w:tab/>
              <w:t>Знаходити адекватний засіб перекладу змісту речення на основі порівняльного аналізу формальної структури речення рідної та іноземної мов</w:t>
            </w:r>
          </w:p>
          <w:p w14:paraId="6EDEB781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3</w:t>
            </w:r>
            <w:r w:rsidRPr="00260DB9">
              <w:rPr>
                <w:sz w:val="24"/>
                <w:szCs w:val="24"/>
              </w:rPr>
              <w:tab/>
              <w:t>Нести особисту відповідальність за порушення правил академічної доброчесності у професійній діяльності.</w:t>
            </w:r>
          </w:p>
          <w:p w14:paraId="7132B29E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4</w:t>
            </w:r>
            <w:r w:rsidRPr="00260DB9">
              <w:rPr>
                <w:sz w:val="24"/>
                <w:szCs w:val="24"/>
              </w:rPr>
              <w:tab/>
              <w:t>Знаходити й аналізувати граматичні і лексико-семантичні явища в англійському тексті з перекладацької точки зору</w:t>
            </w:r>
          </w:p>
          <w:p w14:paraId="40FB40D3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5</w:t>
            </w:r>
            <w:r w:rsidRPr="00260DB9">
              <w:rPr>
                <w:sz w:val="24"/>
                <w:szCs w:val="24"/>
              </w:rPr>
              <w:tab/>
              <w:t xml:space="preserve">Використовувати у практичній діяльності принципи компонентного та </w:t>
            </w:r>
            <w:proofErr w:type="spellStart"/>
            <w:r w:rsidRPr="00260DB9">
              <w:rPr>
                <w:sz w:val="24"/>
                <w:szCs w:val="24"/>
              </w:rPr>
              <w:t>соціоперекладацького</w:t>
            </w:r>
            <w:proofErr w:type="spellEnd"/>
            <w:r w:rsidRPr="00260DB9">
              <w:rPr>
                <w:sz w:val="24"/>
                <w:szCs w:val="24"/>
              </w:rPr>
              <w:t xml:space="preserve"> аналізу тексту, а також бачити текст у якості сітки перекладацьких проблем з метою швидкого визначення ділянок тексту, найскладніших для перекладу</w:t>
            </w:r>
          </w:p>
          <w:p w14:paraId="01F2A803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6</w:t>
            </w:r>
            <w:r w:rsidRPr="00260DB9">
              <w:rPr>
                <w:sz w:val="24"/>
                <w:szCs w:val="24"/>
              </w:rPr>
              <w:tab/>
              <w:t>Використовувати фонові знання з дисципліни</w:t>
            </w:r>
          </w:p>
          <w:p w14:paraId="552427E5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7</w:t>
            </w:r>
            <w:r w:rsidRPr="00260DB9">
              <w:rPr>
                <w:sz w:val="24"/>
                <w:szCs w:val="24"/>
              </w:rPr>
              <w:tab/>
              <w:t>Використовувати знання кожної з зазначених тем</w:t>
            </w:r>
          </w:p>
          <w:p w14:paraId="671B6DDC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8</w:t>
            </w:r>
            <w:r w:rsidRPr="00260DB9">
              <w:rPr>
                <w:sz w:val="24"/>
                <w:szCs w:val="24"/>
              </w:rPr>
              <w:tab/>
              <w:t xml:space="preserve">Вільно використовувати </w:t>
            </w:r>
            <w:proofErr w:type="spellStart"/>
            <w:r w:rsidRPr="00260DB9">
              <w:rPr>
                <w:sz w:val="24"/>
                <w:szCs w:val="24"/>
              </w:rPr>
              <w:t>мовний</w:t>
            </w:r>
            <w:proofErr w:type="spellEnd"/>
            <w:r w:rsidRPr="00260DB9">
              <w:rPr>
                <w:sz w:val="24"/>
                <w:szCs w:val="24"/>
              </w:rPr>
              <w:t xml:space="preserve"> матеріал</w:t>
            </w:r>
          </w:p>
          <w:p w14:paraId="22527075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9</w:t>
            </w:r>
            <w:r w:rsidRPr="00260DB9">
              <w:rPr>
                <w:sz w:val="24"/>
                <w:szCs w:val="24"/>
              </w:rPr>
              <w:tab/>
              <w:t>Вільно використовувати термінологічний матеріал</w:t>
            </w:r>
          </w:p>
          <w:p w14:paraId="4FB102AF" w14:textId="3BF5DC6D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10</w:t>
            </w:r>
            <w:r>
              <w:rPr>
                <w:sz w:val="24"/>
                <w:szCs w:val="24"/>
              </w:rPr>
              <w:t> </w:t>
            </w:r>
            <w:r w:rsidRPr="00260DB9">
              <w:rPr>
                <w:sz w:val="24"/>
                <w:szCs w:val="24"/>
              </w:rPr>
              <w:t xml:space="preserve">Здійснювати науковий аналіз </w:t>
            </w:r>
            <w:proofErr w:type="spellStart"/>
            <w:r w:rsidRPr="00260DB9">
              <w:rPr>
                <w:sz w:val="24"/>
                <w:szCs w:val="24"/>
              </w:rPr>
              <w:t>мовного</w:t>
            </w:r>
            <w:proofErr w:type="spellEnd"/>
            <w:r w:rsidRPr="00260DB9">
              <w:rPr>
                <w:sz w:val="24"/>
                <w:szCs w:val="24"/>
              </w:rPr>
              <w:t xml:space="preserve"> й літературного матеріалу: вміти опрацьовувати наукові джерела, поглиблюючи свої знання з </w:t>
            </w:r>
            <w:proofErr w:type="spellStart"/>
            <w:r w:rsidRPr="00260DB9">
              <w:rPr>
                <w:sz w:val="24"/>
                <w:szCs w:val="24"/>
              </w:rPr>
              <w:t>прагмалінгвістичних</w:t>
            </w:r>
            <w:proofErr w:type="spellEnd"/>
            <w:r w:rsidRPr="00260DB9">
              <w:rPr>
                <w:sz w:val="24"/>
                <w:szCs w:val="24"/>
              </w:rPr>
              <w:t xml:space="preserve">, соціолінгвістичних, психолінгвістичних, </w:t>
            </w:r>
            <w:proofErr w:type="spellStart"/>
            <w:r w:rsidRPr="00260DB9">
              <w:rPr>
                <w:sz w:val="24"/>
                <w:szCs w:val="24"/>
              </w:rPr>
              <w:t>лінгвокультурологічних</w:t>
            </w:r>
            <w:proofErr w:type="spellEnd"/>
            <w:r w:rsidRPr="00260DB9">
              <w:rPr>
                <w:sz w:val="24"/>
                <w:szCs w:val="24"/>
              </w:rPr>
              <w:t xml:space="preserve"> та жанрових теорій перекладу</w:t>
            </w:r>
          </w:p>
          <w:p w14:paraId="54C0C6AB" w14:textId="023EEADC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11</w:t>
            </w:r>
            <w:r>
              <w:rPr>
                <w:sz w:val="24"/>
                <w:szCs w:val="24"/>
              </w:rPr>
              <w:t> </w:t>
            </w:r>
            <w:r w:rsidRPr="00260DB9">
              <w:rPr>
                <w:sz w:val="24"/>
                <w:szCs w:val="24"/>
              </w:rPr>
              <w:t>Враховувати різноманітні аспекти перекладу</w:t>
            </w:r>
          </w:p>
          <w:p w14:paraId="2A3774A5" w14:textId="0D262047" w:rsidR="00D7334F" w:rsidRPr="005A798B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ОРН 12</w:t>
            </w:r>
            <w:r>
              <w:rPr>
                <w:sz w:val="24"/>
                <w:szCs w:val="24"/>
              </w:rPr>
              <w:t> </w:t>
            </w:r>
            <w:r w:rsidRPr="00260DB9">
              <w:rPr>
                <w:sz w:val="24"/>
                <w:szCs w:val="24"/>
              </w:rPr>
              <w:t>Аналізувати отриманий текст щодо наявності граматичних та лексичних помилок та адекватність перекладеного матеріалу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8200D6" w:rsidRPr="006079B2" w:rsidRDefault="008927D3" w:rsidP="008927D3">
            <w:pPr>
              <w:pStyle w:val="4"/>
            </w:pPr>
            <w:r w:rsidRPr="006079B2">
              <w:t>Лекції</w:t>
            </w:r>
          </w:p>
          <w:p w14:paraId="0162EF88" w14:textId="184D344A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260DB9">
              <w:rPr>
                <w:sz w:val="24"/>
                <w:szCs w:val="24"/>
              </w:rPr>
              <w:t xml:space="preserve">Вступна лекція: соціолінгвістика як міждисциплінарна наука. Предмет і завдання соціолінгвістики. Соціолінгвістичні аспекти перекладу. </w:t>
            </w:r>
            <w:proofErr w:type="spellStart"/>
            <w:r w:rsidRPr="00260DB9">
              <w:rPr>
                <w:sz w:val="24"/>
                <w:szCs w:val="24"/>
              </w:rPr>
              <w:t>Мовна</w:t>
            </w:r>
            <w:proofErr w:type="spellEnd"/>
            <w:r w:rsidRPr="00260DB9">
              <w:rPr>
                <w:sz w:val="24"/>
                <w:szCs w:val="24"/>
              </w:rPr>
              <w:t xml:space="preserve"> норма і </w:t>
            </w:r>
            <w:proofErr w:type="spellStart"/>
            <w:r w:rsidRPr="00260DB9">
              <w:rPr>
                <w:sz w:val="24"/>
                <w:szCs w:val="24"/>
              </w:rPr>
              <w:t>мовна</w:t>
            </w:r>
            <w:proofErr w:type="spellEnd"/>
            <w:r w:rsidRPr="00260DB9">
              <w:rPr>
                <w:sz w:val="24"/>
                <w:szCs w:val="24"/>
              </w:rPr>
              <w:t xml:space="preserve"> варіативність.</w:t>
            </w:r>
          </w:p>
          <w:p w14:paraId="4B8BF046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 xml:space="preserve">2. Форми існування мови. Літературна мова. </w:t>
            </w:r>
            <w:proofErr w:type="spellStart"/>
            <w:r w:rsidRPr="00260DB9">
              <w:rPr>
                <w:sz w:val="24"/>
                <w:szCs w:val="24"/>
              </w:rPr>
              <w:t>Побутово</w:t>
            </w:r>
            <w:proofErr w:type="spellEnd"/>
            <w:r w:rsidRPr="00260DB9">
              <w:rPr>
                <w:sz w:val="24"/>
                <w:szCs w:val="24"/>
              </w:rPr>
              <w:t>-розмовне мовлення. Соціальні діалекти. Таємні мови або арго.</w:t>
            </w:r>
          </w:p>
          <w:p w14:paraId="528D8C4A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 xml:space="preserve">3. Комунікативне середовище: вибір мови спілкування. Білінгвізм. Мови національних меншин. </w:t>
            </w:r>
            <w:proofErr w:type="spellStart"/>
            <w:r w:rsidRPr="00260DB9">
              <w:rPr>
                <w:sz w:val="24"/>
                <w:szCs w:val="24"/>
              </w:rPr>
              <w:t>Мовна</w:t>
            </w:r>
            <w:proofErr w:type="spellEnd"/>
            <w:r w:rsidRPr="00260DB9">
              <w:rPr>
                <w:sz w:val="24"/>
                <w:szCs w:val="24"/>
              </w:rPr>
              <w:t xml:space="preserve"> політика. Мова та діалект. Регіональні та соціальні діалекти.</w:t>
            </w:r>
          </w:p>
          <w:p w14:paraId="1B4BD68A" w14:textId="5E2C6985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 </w:t>
            </w:r>
            <w:r w:rsidRPr="00260DB9">
              <w:rPr>
                <w:sz w:val="24"/>
                <w:szCs w:val="24"/>
              </w:rPr>
              <w:t xml:space="preserve">Мовлення як соціальна взаємодія. Культурні відмінності у дискурсі. </w:t>
            </w:r>
            <w:proofErr w:type="spellStart"/>
            <w:r w:rsidRPr="00260DB9">
              <w:rPr>
                <w:sz w:val="24"/>
                <w:szCs w:val="24"/>
              </w:rPr>
              <w:t>Лінгвокультурологічні</w:t>
            </w:r>
            <w:proofErr w:type="spellEnd"/>
            <w:r w:rsidRPr="00260DB9">
              <w:rPr>
                <w:sz w:val="24"/>
                <w:szCs w:val="24"/>
              </w:rPr>
              <w:t xml:space="preserve"> аспекти перекладу. Міжкультурна комунікація та проблеми перекладу.</w:t>
            </w:r>
          </w:p>
          <w:p w14:paraId="477235F0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5. Теорія мовленнєвих актів та проблеми перекладу.</w:t>
            </w:r>
          </w:p>
          <w:p w14:paraId="038C0ECF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6. Принципи мовленнєвої взаємодії.</w:t>
            </w:r>
          </w:p>
          <w:p w14:paraId="2F20CDC7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>7. Комунікативно-прагматична еквівалентність.</w:t>
            </w:r>
          </w:p>
          <w:p w14:paraId="18831613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lastRenderedPageBreak/>
              <w:t>8. Прагматика перекладу.</w:t>
            </w:r>
          </w:p>
          <w:p w14:paraId="77F29504" w14:textId="77777777" w:rsidR="00260DB9" w:rsidRPr="00260DB9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 xml:space="preserve">9. Дискурс як </w:t>
            </w:r>
            <w:proofErr w:type="spellStart"/>
            <w:r w:rsidRPr="00260DB9">
              <w:rPr>
                <w:sz w:val="24"/>
                <w:szCs w:val="24"/>
              </w:rPr>
              <w:t>когнітивно</w:t>
            </w:r>
            <w:proofErr w:type="spellEnd"/>
            <w:r w:rsidRPr="00260DB9">
              <w:rPr>
                <w:sz w:val="24"/>
                <w:szCs w:val="24"/>
              </w:rPr>
              <w:t>-комунікативний феномен.</w:t>
            </w:r>
          </w:p>
          <w:p w14:paraId="40A9EBF7" w14:textId="304BAA8C" w:rsidR="008927D3" w:rsidRPr="006079B2" w:rsidRDefault="00260DB9" w:rsidP="00260DB9">
            <w:pPr>
              <w:jc w:val="both"/>
              <w:rPr>
                <w:sz w:val="24"/>
                <w:szCs w:val="24"/>
              </w:rPr>
            </w:pPr>
            <w:r w:rsidRPr="00260DB9">
              <w:rPr>
                <w:sz w:val="24"/>
                <w:szCs w:val="24"/>
              </w:rPr>
              <w:t xml:space="preserve">10. Текст як </w:t>
            </w:r>
            <w:proofErr w:type="spellStart"/>
            <w:r w:rsidRPr="00260DB9">
              <w:rPr>
                <w:sz w:val="24"/>
                <w:szCs w:val="24"/>
              </w:rPr>
              <w:t>вербалізований</w:t>
            </w:r>
            <w:proofErr w:type="spellEnd"/>
            <w:r w:rsidRPr="00260DB9">
              <w:rPr>
                <w:sz w:val="24"/>
                <w:szCs w:val="24"/>
              </w:rPr>
              <w:t xml:space="preserve"> продукт дискурсу. </w:t>
            </w:r>
            <w:proofErr w:type="spellStart"/>
            <w:r w:rsidRPr="00260DB9">
              <w:rPr>
                <w:sz w:val="24"/>
                <w:szCs w:val="24"/>
              </w:rPr>
              <w:t>Когнітивно</w:t>
            </w:r>
            <w:proofErr w:type="spellEnd"/>
            <w:r w:rsidRPr="00260DB9">
              <w:rPr>
                <w:sz w:val="24"/>
                <w:szCs w:val="24"/>
              </w:rPr>
              <w:t>-прагматичні аспекти текстотворення. Прагматичний аспект тексту.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1DC016E2" w:rsidR="00B02574" w:rsidRPr="000371EF" w:rsidRDefault="000371EF" w:rsidP="000371EF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0371EF">
              <w:rPr>
                <w:sz w:val="24"/>
                <w:szCs w:val="24"/>
              </w:rPr>
              <w:t>Семестрова оцінка студента формується за 100-бальною шкалою як бали за контрольний захід (КЗ1). Студент не допускається до заліку, якщо не засвоїв лекційний матеріал, що перевіряється виконанням контрольного заходу. 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 xml:space="preserve">За умови дистанційного навчання необхідна програма для організації відеоконференцій </w:t>
            </w:r>
            <w:proofErr w:type="spellStart"/>
            <w:r w:rsidRPr="004E6D75">
              <w:rPr>
                <w:rFonts w:cs="Times New Roman"/>
                <w:sz w:val="24"/>
                <w:szCs w:val="24"/>
              </w:rPr>
              <w:t>Zoom</w:t>
            </w:r>
            <w:proofErr w:type="spellEnd"/>
            <w:r w:rsidRPr="004E6D75">
              <w:rPr>
                <w:rFonts w:cs="Times New Roman"/>
                <w:sz w:val="24"/>
                <w:szCs w:val="24"/>
              </w:rPr>
              <w:t xml:space="preserve">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7953DCCE" w14:textId="77777777" w:rsidR="00260DB9" w:rsidRPr="00260DB9" w:rsidRDefault="00260DB9" w:rsidP="00260DB9">
            <w:pPr>
              <w:jc w:val="both"/>
              <w:rPr>
                <w:i/>
                <w:iCs/>
              </w:rPr>
            </w:pPr>
            <w:r w:rsidRPr="00260DB9">
              <w:rPr>
                <w:i/>
                <w:iCs/>
              </w:rPr>
              <w:t>Основна література</w:t>
            </w:r>
          </w:p>
          <w:p w14:paraId="214AC725" w14:textId="75437412" w:rsidR="00260DB9" w:rsidRPr="00260DB9" w:rsidRDefault="00260DB9" w:rsidP="00260DB9">
            <w:pPr>
              <w:jc w:val="both"/>
            </w:pPr>
            <w:r w:rsidRPr="00260DB9">
              <w:t>1.</w:t>
            </w:r>
            <w:r>
              <w:t> </w:t>
            </w:r>
            <w:proofErr w:type="spellStart"/>
            <w:r w:rsidRPr="00260DB9">
              <w:t>Бацевич</w:t>
            </w:r>
            <w:proofErr w:type="spellEnd"/>
            <w:r w:rsidRPr="00260DB9">
              <w:t xml:space="preserve"> Ф. С. Нариси з лінгвістичної прагматики: Монографія. Львів: ПАІС, 2010. 336 с.</w:t>
            </w:r>
          </w:p>
          <w:p w14:paraId="4CC6971B" w14:textId="2BF566EE" w:rsidR="00260DB9" w:rsidRPr="00260DB9" w:rsidRDefault="00260DB9" w:rsidP="00260DB9">
            <w:pPr>
              <w:jc w:val="both"/>
            </w:pPr>
            <w:r w:rsidRPr="00260DB9">
              <w:t>2.</w:t>
            </w:r>
            <w:r>
              <w:t> </w:t>
            </w:r>
            <w:proofErr w:type="spellStart"/>
            <w:r w:rsidRPr="00260DB9">
              <w:t>Боговик</w:t>
            </w:r>
            <w:proofErr w:type="spellEnd"/>
            <w:r w:rsidRPr="00260DB9">
              <w:t xml:space="preserve"> О. А. «Соціолінгвістичні та прагматичні проблеми перекладу». Навчальний посібник для студентів VІ курсу спеціальності «Філологія»: навчальний посібник. Дніпр. </w:t>
            </w:r>
            <w:proofErr w:type="spellStart"/>
            <w:r w:rsidRPr="00260DB9">
              <w:t>нац</w:t>
            </w:r>
            <w:proofErr w:type="spellEnd"/>
            <w:r w:rsidRPr="00260DB9">
              <w:t xml:space="preserve">. ун-т </w:t>
            </w:r>
            <w:proofErr w:type="spellStart"/>
            <w:r w:rsidRPr="00260DB9">
              <w:t>залізн</w:t>
            </w:r>
            <w:proofErr w:type="spellEnd"/>
            <w:r w:rsidRPr="00260DB9">
              <w:t xml:space="preserve">. </w:t>
            </w:r>
            <w:proofErr w:type="spellStart"/>
            <w:r w:rsidRPr="00260DB9">
              <w:t>трансп</w:t>
            </w:r>
            <w:proofErr w:type="spellEnd"/>
            <w:r w:rsidRPr="00260DB9">
              <w:t>. ім. акад. В. Лазаряна. Дніпро : П.П. Кулик В.В., 2020. 155 с.</w:t>
            </w:r>
          </w:p>
          <w:p w14:paraId="799FB747" w14:textId="16A33E66" w:rsidR="00260DB9" w:rsidRPr="00260DB9" w:rsidRDefault="00260DB9" w:rsidP="00260DB9">
            <w:pPr>
              <w:jc w:val="both"/>
            </w:pPr>
            <w:r w:rsidRPr="00260DB9">
              <w:t>3.</w:t>
            </w:r>
            <w:r>
              <w:t> </w:t>
            </w:r>
            <w:r w:rsidRPr="00260DB9">
              <w:t xml:space="preserve">Єфімов Л. П., </w:t>
            </w:r>
            <w:proofErr w:type="spellStart"/>
            <w:r w:rsidRPr="00260DB9">
              <w:t>Ясінецька</w:t>
            </w:r>
            <w:proofErr w:type="spellEnd"/>
            <w:r w:rsidRPr="00260DB9">
              <w:t xml:space="preserve"> О. А. Стилістика англійської мови і дискурсивний аналіз. Учбово-</w:t>
            </w:r>
            <w:proofErr w:type="spellStart"/>
            <w:r w:rsidRPr="00260DB9">
              <w:t>методичн</w:t>
            </w:r>
            <w:proofErr w:type="spellEnd"/>
            <w:r w:rsidRPr="00260DB9">
              <w:t xml:space="preserve">. посібник. Вінниця: НОВА КНИГА, 2004. 240 с. </w:t>
            </w:r>
          </w:p>
          <w:p w14:paraId="7F472224" w14:textId="76D92DB2" w:rsidR="00260DB9" w:rsidRPr="00260DB9" w:rsidRDefault="00260DB9" w:rsidP="00260DB9">
            <w:pPr>
              <w:jc w:val="both"/>
            </w:pPr>
            <w:r w:rsidRPr="00260DB9">
              <w:t>4.</w:t>
            </w:r>
            <w:r>
              <w:t> </w:t>
            </w:r>
            <w:proofErr w:type="spellStart"/>
            <w:r w:rsidRPr="00260DB9">
              <w:t>Зорівчак</w:t>
            </w:r>
            <w:proofErr w:type="spellEnd"/>
            <w:r w:rsidRPr="00260DB9">
              <w:t xml:space="preserve"> Р. П. Реалія і переклад (на матеріалі англомовних </w:t>
            </w:r>
            <w:r w:rsidRPr="00260DB9">
              <w:lastRenderedPageBreak/>
              <w:t xml:space="preserve">перекладів української прози). Львів: Вид-во при Львівському ун-ті, 1989. 216 с. </w:t>
            </w:r>
          </w:p>
          <w:p w14:paraId="66F5A8F3" w14:textId="6DD25E40" w:rsidR="00260DB9" w:rsidRPr="00260DB9" w:rsidRDefault="00260DB9" w:rsidP="00260DB9">
            <w:pPr>
              <w:jc w:val="both"/>
            </w:pPr>
            <w:r w:rsidRPr="00260DB9">
              <w:t>5.</w:t>
            </w:r>
            <w:r>
              <w:t> </w:t>
            </w:r>
            <w:proofErr w:type="spellStart"/>
            <w:r w:rsidRPr="00260DB9">
              <w:t>Карабан</w:t>
            </w:r>
            <w:proofErr w:type="spellEnd"/>
            <w:r w:rsidRPr="00260DB9">
              <w:t xml:space="preserve"> В. І. Переклад англійської наукової і технічної літератури. Граматичні труднощі, лексичні, термінологічні та жанрово-стилістичні проблеми. Вінниця, Нова книга, 2004. 576 с.  </w:t>
            </w:r>
          </w:p>
          <w:p w14:paraId="795F6570" w14:textId="60903364" w:rsidR="00260DB9" w:rsidRPr="00260DB9" w:rsidRDefault="00260DB9" w:rsidP="00260DB9">
            <w:pPr>
              <w:jc w:val="both"/>
            </w:pPr>
            <w:r w:rsidRPr="00260DB9">
              <w:t>6.</w:t>
            </w:r>
            <w:r>
              <w:t> </w:t>
            </w:r>
            <w:r w:rsidRPr="00260DB9">
              <w:t>Кухаренко В. А. Інтерпретація тексту. Навчальний посібник. Вінниця, 2004. 272 с.</w:t>
            </w:r>
          </w:p>
          <w:p w14:paraId="5BC380DB" w14:textId="4452C367" w:rsidR="00260DB9" w:rsidRPr="00260DB9" w:rsidRDefault="00260DB9" w:rsidP="00260DB9">
            <w:pPr>
              <w:jc w:val="both"/>
            </w:pPr>
            <w:r w:rsidRPr="00260DB9">
              <w:t>7.</w:t>
            </w:r>
            <w:r>
              <w:t> </w:t>
            </w:r>
            <w:r w:rsidRPr="00260DB9">
              <w:t xml:space="preserve">Муратова Д. Є. Соціокультурна інформація та її врахування у перекладі і підготовці перекладачів. Вісник КНУ. Іноземна філологія. 2004. С. 103 – 105. </w:t>
            </w:r>
          </w:p>
          <w:p w14:paraId="76334578" w14:textId="6977C82B" w:rsidR="00260DB9" w:rsidRPr="00260DB9" w:rsidRDefault="00260DB9" w:rsidP="00260DB9">
            <w:pPr>
              <w:jc w:val="both"/>
            </w:pPr>
            <w:r w:rsidRPr="00260DB9">
              <w:t>8.</w:t>
            </w:r>
            <w:r>
              <w:t> </w:t>
            </w:r>
            <w:proofErr w:type="spellStart"/>
            <w:r w:rsidRPr="00260DB9">
              <w:t>Некряч</w:t>
            </w:r>
            <w:proofErr w:type="spellEnd"/>
            <w:r w:rsidRPr="00260DB9">
              <w:t xml:space="preserve"> Т. Є., Чала Ю. П. Через терні до зірок: труднощі перекладу художніх творів. Навчальний посібник. Вінниця, 2008. 200 с. </w:t>
            </w:r>
          </w:p>
          <w:p w14:paraId="27FD0CB9" w14:textId="66267FD0" w:rsidR="00260DB9" w:rsidRPr="00260DB9" w:rsidRDefault="00260DB9" w:rsidP="00260DB9">
            <w:pPr>
              <w:jc w:val="both"/>
            </w:pPr>
            <w:r w:rsidRPr="00260DB9">
              <w:t>9.</w:t>
            </w:r>
            <w:r>
              <w:t> </w:t>
            </w:r>
            <w:r w:rsidRPr="00260DB9">
              <w:t>Ніколенко А. Г. Соціальні аспекти мовлення. Навчальний посібник для студентів вищих закладів освіти. Вінниця, 2005. 256 с.</w:t>
            </w:r>
          </w:p>
          <w:p w14:paraId="31DDE010" w14:textId="77777777" w:rsidR="00260DB9" w:rsidRPr="00260DB9" w:rsidRDefault="00260DB9" w:rsidP="00260DB9">
            <w:pPr>
              <w:jc w:val="both"/>
            </w:pPr>
            <w:r w:rsidRPr="00260DB9">
              <w:t>10. Селіванова О. О. Основи теорії мовної комунікації [підручник]. Черкаси, 2011. 350 с.</w:t>
            </w:r>
          </w:p>
          <w:p w14:paraId="27E98AE6" w14:textId="77777777" w:rsidR="00260DB9" w:rsidRPr="00260DB9" w:rsidRDefault="00260DB9" w:rsidP="00260DB9">
            <w:pPr>
              <w:jc w:val="both"/>
            </w:pPr>
            <w:r w:rsidRPr="00260DB9">
              <w:t>11. Селіванова О. О. Сучасна лінгвістика: напрямки і проблеми. Полтава, 2008. 712 с.</w:t>
            </w:r>
          </w:p>
          <w:p w14:paraId="35899E48" w14:textId="77777777" w:rsidR="00260DB9" w:rsidRPr="00260DB9" w:rsidRDefault="00260DB9" w:rsidP="00260DB9">
            <w:pPr>
              <w:jc w:val="both"/>
              <w:rPr>
                <w:i/>
                <w:iCs/>
              </w:rPr>
            </w:pPr>
            <w:r w:rsidRPr="00260DB9">
              <w:rPr>
                <w:i/>
                <w:iCs/>
              </w:rPr>
              <w:t xml:space="preserve">Додаткова література </w:t>
            </w:r>
          </w:p>
          <w:p w14:paraId="7B8A09B1" w14:textId="168F1FE2" w:rsidR="00260DB9" w:rsidRPr="00260DB9" w:rsidRDefault="00260DB9" w:rsidP="00260DB9">
            <w:pPr>
              <w:jc w:val="both"/>
            </w:pPr>
            <w:r w:rsidRPr="00260DB9">
              <w:t>1.</w:t>
            </w:r>
            <w:r>
              <w:t> </w:t>
            </w:r>
            <w:proofErr w:type="spellStart"/>
            <w:r w:rsidRPr="00260DB9">
              <w:t>Антошкіна</w:t>
            </w:r>
            <w:proofErr w:type="spellEnd"/>
            <w:r w:rsidRPr="00260DB9">
              <w:t xml:space="preserve"> Л., Красовська Г., </w:t>
            </w:r>
            <w:proofErr w:type="spellStart"/>
            <w:r w:rsidRPr="00260DB9">
              <w:t>Сигеда</w:t>
            </w:r>
            <w:proofErr w:type="spellEnd"/>
            <w:r w:rsidRPr="00260DB9">
              <w:t xml:space="preserve"> П., </w:t>
            </w:r>
            <w:proofErr w:type="spellStart"/>
            <w:r w:rsidRPr="00260DB9">
              <w:t>Сухомлинов</w:t>
            </w:r>
            <w:proofErr w:type="spellEnd"/>
            <w:r w:rsidRPr="00260DB9">
              <w:t xml:space="preserve"> О. Соціолінгвістика: навчальний посібник. Донецьк,  2007. 360 с.</w:t>
            </w:r>
          </w:p>
          <w:p w14:paraId="79A2CDD3" w14:textId="3BF886FE" w:rsidR="00260DB9" w:rsidRPr="00260DB9" w:rsidRDefault="00260DB9" w:rsidP="00260DB9">
            <w:pPr>
              <w:jc w:val="both"/>
            </w:pPr>
            <w:r w:rsidRPr="00260DB9">
              <w:t>2.</w:t>
            </w:r>
            <w:r>
              <w:t> </w:t>
            </w:r>
            <w:proofErr w:type="spellStart"/>
            <w:r w:rsidRPr="00260DB9">
              <w:t>Добросклонская</w:t>
            </w:r>
            <w:proofErr w:type="spellEnd"/>
            <w:r w:rsidRPr="00260DB9">
              <w:t xml:space="preserve"> Т. Г. </w:t>
            </w:r>
            <w:proofErr w:type="spellStart"/>
            <w:r w:rsidRPr="00260DB9">
              <w:t>Вопросы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изучения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медиатекстов</w:t>
            </w:r>
            <w:proofErr w:type="spellEnd"/>
            <w:r w:rsidRPr="00260DB9">
              <w:t xml:space="preserve"> (</w:t>
            </w:r>
            <w:proofErr w:type="spellStart"/>
            <w:r w:rsidRPr="00260DB9">
              <w:t>опыт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исследования</w:t>
            </w:r>
            <w:proofErr w:type="spellEnd"/>
            <w:r w:rsidRPr="00260DB9">
              <w:t xml:space="preserve"> Єрмоленко С. Я. Нариси з української словесності: стилістика та культура мови. Київ, 1999. 431 с.</w:t>
            </w:r>
          </w:p>
          <w:p w14:paraId="75BF01AC" w14:textId="25E77915" w:rsidR="00260DB9" w:rsidRPr="00260DB9" w:rsidRDefault="00260DB9" w:rsidP="00260DB9">
            <w:pPr>
              <w:jc w:val="both"/>
            </w:pPr>
            <w:r w:rsidRPr="00260DB9">
              <w:t>3.</w:t>
            </w:r>
            <w:r>
              <w:t> </w:t>
            </w:r>
            <w:proofErr w:type="spellStart"/>
            <w:r w:rsidRPr="00260DB9">
              <w:t>Ефімов</w:t>
            </w:r>
            <w:proofErr w:type="spellEnd"/>
            <w:r w:rsidRPr="00260DB9">
              <w:t xml:space="preserve"> Л. П. Стилістика. Вінниця, 2004. 240 с.</w:t>
            </w:r>
          </w:p>
          <w:p w14:paraId="3BB02496" w14:textId="3E06520C" w:rsidR="00260DB9" w:rsidRPr="00260DB9" w:rsidRDefault="00260DB9" w:rsidP="00260DB9">
            <w:pPr>
              <w:jc w:val="both"/>
            </w:pPr>
            <w:r w:rsidRPr="00260DB9">
              <w:t>4.</w:t>
            </w:r>
            <w:r>
              <w:t> </w:t>
            </w:r>
            <w:proofErr w:type="spellStart"/>
            <w:r w:rsidRPr="00260DB9">
              <w:t>Зацний</w:t>
            </w:r>
            <w:proofErr w:type="spellEnd"/>
            <w:r w:rsidRPr="00260DB9">
              <w:t xml:space="preserve"> Ю. А., Пахомова Т. О. Мова і суспільство: збагачення словникового складу сучасної англійської мови. Запоріжжя: Запорізький державний університет, 2001. 243 с.</w:t>
            </w:r>
          </w:p>
          <w:p w14:paraId="6F786721" w14:textId="3742BAF4" w:rsidR="00260DB9" w:rsidRPr="00260DB9" w:rsidRDefault="00260DB9" w:rsidP="00260DB9">
            <w:pPr>
              <w:jc w:val="both"/>
            </w:pPr>
            <w:r w:rsidRPr="00260DB9">
              <w:t>5.</w:t>
            </w:r>
            <w:r>
              <w:t> </w:t>
            </w:r>
            <w:r w:rsidRPr="00260DB9">
              <w:t>Мацюк Г. Прикладна соціолінгвістика: питання мовної політики. Львів, 2009. 212 с.</w:t>
            </w:r>
          </w:p>
          <w:p w14:paraId="7919589E" w14:textId="3BF972CC" w:rsidR="00260DB9" w:rsidRPr="00260DB9" w:rsidRDefault="00260DB9" w:rsidP="00260DB9">
            <w:pPr>
              <w:jc w:val="both"/>
            </w:pPr>
            <w:r w:rsidRPr="00260DB9">
              <w:t>6.</w:t>
            </w:r>
            <w:r>
              <w:t> </w:t>
            </w:r>
            <w:r w:rsidRPr="00260DB9">
              <w:t xml:space="preserve">Павлюк Л. С. Риторика, ідеологія, </w:t>
            </w:r>
            <w:proofErr w:type="spellStart"/>
            <w:r w:rsidRPr="00260DB9">
              <w:t>персуазивна</w:t>
            </w:r>
            <w:proofErr w:type="spellEnd"/>
            <w:r w:rsidRPr="00260DB9">
              <w:t xml:space="preserve"> комунікація. Львів : ПАІС, 2007. 168 с.</w:t>
            </w:r>
          </w:p>
          <w:p w14:paraId="5C699A83" w14:textId="436CAFFC" w:rsidR="00260DB9" w:rsidRPr="00260DB9" w:rsidRDefault="00260DB9" w:rsidP="00260DB9">
            <w:pPr>
              <w:jc w:val="both"/>
            </w:pPr>
            <w:r w:rsidRPr="00260DB9">
              <w:t>7.</w:t>
            </w:r>
            <w:r>
              <w:t> </w:t>
            </w:r>
            <w:r w:rsidRPr="00260DB9">
              <w:t>Сосюр Ф. (де). Курс загальної лінгвістики. Київ, 1998. 324 с.</w:t>
            </w:r>
          </w:p>
          <w:p w14:paraId="5A5969D5" w14:textId="24BB03D5" w:rsidR="00260DB9" w:rsidRPr="00260DB9" w:rsidRDefault="00260DB9" w:rsidP="00260DB9">
            <w:pPr>
              <w:jc w:val="both"/>
            </w:pPr>
            <w:r w:rsidRPr="00260DB9">
              <w:t>8.</w:t>
            </w:r>
            <w:r>
              <w:t> </w:t>
            </w:r>
            <w:proofErr w:type="spellStart"/>
            <w:r w:rsidRPr="00260DB9">
              <w:t>Стишов</w:t>
            </w:r>
            <w:proofErr w:type="spellEnd"/>
            <w:r w:rsidRPr="00260DB9">
              <w:t xml:space="preserve"> О. А. Українська лексика кінця XX століття (на матеріалі мови засобів масової інформації). Київ, 2003. 388 c.</w:t>
            </w:r>
          </w:p>
          <w:p w14:paraId="333DECD7" w14:textId="42C10E82" w:rsidR="00260DB9" w:rsidRPr="00260DB9" w:rsidRDefault="00260DB9" w:rsidP="00260DB9">
            <w:pPr>
              <w:jc w:val="both"/>
            </w:pPr>
            <w:r w:rsidRPr="00260DB9">
              <w:t>9.</w:t>
            </w:r>
            <w:r>
              <w:t> </w:t>
            </w:r>
            <w:r w:rsidRPr="00260DB9">
              <w:t>Чередниченко О. І. Про мову і переклад. Київ, 2007. 248 с.</w:t>
            </w:r>
          </w:p>
          <w:p w14:paraId="69B3D37D" w14:textId="77777777" w:rsidR="00260DB9" w:rsidRPr="00260DB9" w:rsidRDefault="00260DB9" w:rsidP="00260DB9">
            <w:pPr>
              <w:jc w:val="both"/>
            </w:pPr>
            <w:r w:rsidRPr="00260DB9">
              <w:t xml:space="preserve">10. </w:t>
            </w:r>
            <w:proofErr w:type="spellStart"/>
            <w:r w:rsidRPr="00260DB9">
              <w:t>Brown</w:t>
            </w:r>
            <w:proofErr w:type="spellEnd"/>
            <w:r w:rsidRPr="00260DB9">
              <w:t xml:space="preserve"> P., </w:t>
            </w:r>
            <w:proofErr w:type="spellStart"/>
            <w:r w:rsidRPr="00260DB9">
              <w:t>Levinson</w:t>
            </w:r>
            <w:proofErr w:type="spellEnd"/>
            <w:r w:rsidRPr="00260DB9">
              <w:t xml:space="preserve"> S. </w:t>
            </w:r>
            <w:proofErr w:type="spellStart"/>
            <w:r w:rsidRPr="00260DB9">
              <w:t>Universals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in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Language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Usage</w:t>
            </w:r>
            <w:proofErr w:type="spellEnd"/>
            <w:r w:rsidRPr="00260DB9">
              <w:t xml:space="preserve">. </w:t>
            </w:r>
            <w:proofErr w:type="spellStart"/>
            <w:r w:rsidRPr="00260DB9">
              <w:t>Politeness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Phenomena</w:t>
            </w:r>
            <w:proofErr w:type="spellEnd"/>
            <w:r w:rsidRPr="00260DB9">
              <w:t xml:space="preserve">:  </w:t>
            </w:r>
            <w:proofErr w:type="spellStart"/>
            <w:r w:rsidRPr="00260DB9">
              <w:t>Questions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and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Politeness</w:t>
            </w:r>
            <w:proofErr w:type="spellEnd"/>
            <w:r w:rsidRPr="00260DB9">
              <w:t xml:space="preserve">. </w:t>
            </w:r>
            <w:proofErr w:type="spellStart"/>
            <w:r w:rsidRPr="00260DB9">
              <w:t>Cambridge</w:t>
            </w:r>
            <w:proofErr w:type="spellEnd"/>
            <w:r w:rsidRPr="00260DB9">
              <w:t xml:space="preserve">: </w:t>
            </w:r>
            <w:proofErr w:type="spellStart"/>
            <w:r w:rsidRPr="00260DB9">
              <w:t>Cambridge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University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Press</w:t>
            </w:r>
            <w:proofErr w:type="spellEnd"/>
            <w:r w:rsidRPr="00260DB9">
              <w:t xml:space="preserve">, 1978. </w:t>
            </w:r>
            <w:proofErr w:type="spellStart"/>
            <w:r w:rsidRPr="00260DB9">
              <w:t>pp</w:t>
            </w:r>
            <w:proofErr w:type="spellEnd"/>
            <w:r w:rsidRPr="00260DB9">
              <w:t>. 56 – 289.</w:t>
            </w:r>
          </w:p>
          <w:p w14:paraId="32C54504" w14:textId="77777777" w:rsidR="00260DB9" w:rsidRPr="00260DB9" w:rsidRDefault="00260DB9" w:rsidP="00260DB9">
            <w:pPr>
              <w:jc w:val="both"/>
            </w:pPr>
            <w:r w:rsidRPr="00260DB9">
              <w:t xml:space="preserve">11. </w:t>
            </w:r>
            <w:proofErr w:type="spellStart"/>
            <w:r w:rsidRPr="00260DB9">
              <w:t>Dijk</w:t>
            </w:r>
            <w:proofErr w:type="spellEnd"/>
            <w:r w:rsidRPr="00260DB9">
              <w:t xml:space="preserve"> T. A. </w:t>
            </w:r>
            <w:proofErr w:type="spellStart"/>
            <w:r w:rsidRPr="00260DB9">
              <w:t>van</w:t>
            </w:r>
            <w:proofErr w:type="spellEnd"/>
            <w:r w:rsidRPr="00260DB9">
              <w:t xml:space="preserve">. </w:t>
            </w:r>
            <w:proofErr w:type="spellStart"/>
            <w:r w:rsidRPr="00260DB9">
              <w:t>Studies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in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the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Pragmatics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of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Discourse</w:t>
            </w:r>
            <w:proofErr w:type="spellEnd"/>
            <w:r w:rsidRPr="00260DB9">
              <w:t xml:space="preserve">. </w:t>
            </w:r>
            <w:proofErr w:type="spellStart"/>
            <w:r w:rsidRPr="00260DB9">
              <w:t>The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Hague</w:t>
            </w:r>
            <w:proofErr w:type="spellEnd"/>
            <w:r w:rsidRPr="00260DB9">
              <w:t xml:space="preserve"> : </w:t>
            </w:r>
            <w:proofErr w:type="spellStart"/>
            <w:r w:rsidRPr="00260DB9">
              <w:t>Mouton</w:t>
            </w:r>
            <w:proofErr w:type="spellEnd"/>
            <w:r w:rsidRPr="00260DB9">
              <w:t>, 1981. 285 p.</w:t>
            </w:r>
          </w:p>
          <w:p w14:paraId="54F585CA" w14:textId="77777777" w:rsidR="00260DB9" w:rsidRPr="00260DB9" w:rsidRDefault="00260DB9" w:rsidP="00260DB9">
            <w:pPr>
              <w:jc w:val="both"/>
            </w:pPr>
            <w:r w:rsidRPr="00260DB9">
              <w:t xml:space="preserve">12. </w:t>
            </w:r>
            <w:proofErr w:type="spellStart"/>
            <w:r w:rsidRPr="00260DB9">
              <w:t>Lakoff</w:t>
            </w:r>
            <w:proofErr w:type="spellEnd"/>
            <w:r w:rsidRPr="00260DB9">
              <w:t xml:space="preserve"> R. </w:t>
            </w:r>
            <w:proofErr w:type="spellStart"/>
            <w:r w:rsidRPr="00260DB9">
              <w:t>The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Language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War</w:t>
            </w:r>
            <w:proofErr w:type="spellEnd"/>
            <w:r w:rsidRPr="00260DB9">
              <w:t xml:space="preserve">. </w:t>
            </w:r>
            <w:proofErr w:type="spellStart"/>
            <w:r w:rsidRPr="00260DB9">
              <w:t>Berkeley</w:t>
            </w:r>
            <w:proofErr w:type="spellEnd"/>
            <w:r w:rsidRPr="00260DB9">
              <w:t xml:space="preserve">, </w:t>
            </w:r>
            <w:proofErr w:type="spellStart"/>
            <w:r w:rsidRPr="00260DB9">
              <w:t>California</w:t>
            </w:r>
            <w:proofErr w:type="spellEnd"/>
            <w:r w:rsidRPr="00260DB9">
              <w:t xml:space="preserve">: </w:t>
            </w:r>
            <w:proofErr w:type="spellStart"/>
            <w:r w:rsidRPr="00260DB9">
              <w:t>University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of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California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Press</w:t>
            </w:r>
            <w:proofErr w:type="spellEnd"/>
            <w:r w:rsidRPr="00260DB9">
              <w:t>, 2000. 322 p.</w:t>
            </w:r>
          </w:p>
          <w:p w14:paraId="6A1A8054" w14:textId="77777777" w:rsidR="00260DB9" w:rsidRPr="00260DB9" w:rsidRDefault="00260DB9" w:rsidP="00260DB9">
            <w:pPr>
              <w:jc w:val="both"/>
            </w:pPr>
            <w:r w:rsidRPr="00260DB9">
              <w:t xml:space="preserve">13. </w:t>
            </w:r>
            <w:proofErr w:type="spellStart"/>
            <w:r w:rsidRPr="00260DB9">
              <w:t>Leech</w:t>
            </w:r>
            <w:proofErr w:type="spellEnd"/>
            <w:r w:rsidRPr="00260DB9">
              <w:t xml:space="preserve"> G. N. </w:t>
            </w:r>
            <w:proofErr w:type="spellStart"/>
            <w:r w:rsidRPr="00260DB9">
              <w:t>Principles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of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pragmatics</w:t>
            </w:r>
            <w:proofErr w:type="spellEnd"/>
            <w:r w:rsidRPr="00260DB9">
              <w:t xml:space="preserve">.  L., N.Y.: </w:t>
            </w:r>
            <w:proofErr w:type="spellStart"/>
            <w:r w:rsidRPr="00260DB9">
              <w:t>Longman</w:t>
            </w:r>
            <w:proofErr w:type="spellEnd"/>
            <w:r w:rsidRPr="00260DB9">
              <w:t xml:space="preserve">, 1996. 250 p. </w:t>
            </w:r>
          </w:p>
          <w:p w14:paraId="15BA1094" w14:textId="77777777" w:rsidR="00260DB9" w:rsidRPr="00260DB9" w:rsidRDefault="00260DB9" w:rsidP="00260DB9">
            <w:pPr>
              <w:jc w:val="both"/>
            </w:pPr>
            <w:r w:rsidRPr="00260DB9">
              <w:t xml:space="preserve">14. </w:t>
            </w:r>
            <w:proofErr w:type="spellStart"/>
            <w:r w:rsidRPr="00260DB9">
              <w:t>Levinson</w:t>
            </w:r>
            <w:proofErr w:type="spellEnd"/>
            <w:r w:rsidRPr="00260DB9">
              <w:t xml:space="preserve"> S. C. </w:t>
            </w:r>
            <w:proofErr w:type="spellStart"/>
            <w:r w:rsidRPr="00260DB9">
              <w:t>Pragmatics</w:t>
            </w:r>
            <w:proofErr w:type="spellEnd"/>
            <w:r w:rsidRPr="00260DB9">
              <w:t xml:space="preserve">. </w:t>
            </w:r>
            <w:proofErr w:type="spellStart"/>
            <w:r w:rsidRPr="00260DB9">
              <w:t>Cambridge</w:t>
            </w:r>
            <w:proofErr w:type="spellEnd"/>
            <w:r w:rsidRPr="00260DB9">
              <w:t xml:space="preserve">: </w:t>
            </w:r>
            <w:proofErr w:type="spellStart"/>
            <w:r w:rsidRPr="00260DB9">
              <w:t>Cambridge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University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Press</w:t>
            </w:r>
            <w:proofErr w:type="spellEnd"/>
            <w:r w:rsidRPr="00260DB9">
              <w:t>, 1983. 420 p.</w:t>
            </w:r>
          </w:p>
          <w:p w14:paraId="1E1AAD1F" w14:textId="77777777" w:rsidR="00260DB9" w:rsidRPr="00260DB9" w:rsidRDefault="00260DB9" w:rsidP="00260DB9">
            <w:pPr>
              <w:jc w:val="both"/>
            </w:pPr>
            <w:r w:rsidRPr="00260DB9">
              <w:t xml:space="preserve">15. </w:t>
            </w:r>
            <w:proofErr w:type="spellStart"/>
            <w:r w:rsidRPr="00260DB9">
              <w:t>Muysken</w:t>
            </w:r>
            <w:proofErr w:type="spellEnd"/>
            <w:r w:rsidRPr="00260DB9">
              <w:t xml:space="preserve"> P., </w:t>
            </w:r>
            <w:proofErr w:type="spellStart"/>
            <w:r w:rsidRPr="00260DB9">
              <w:t>Arends</w:t>
            </w:r>
            <w:proofErr w:type="spellEnd"/>
            <w:r w:rsidRPr="00260DB9">
              <w:t xml:space="preserve"> J., </w:t>
            </w:r>
            <w:proofErr w:type="spellStart"/>
            <w:r w:rsidRPr="00260DB9">
              <w:t>Smith</w:t>
            </w:r>
            <w:proofErr w:type="spellEnd"/>
            <w:r w:rsidRPr="00260DB9">
              <w:t xml:space="preserve"> N. </w:t>
            </w:r>
            <w:proofErr w:type="spellStart"/>
            <w:r w:rsidRPr="00260DB9">
              <w:t>Pidgins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and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creoles</w:t>
            </w:r>
            <w:proofErr w:type="spellEnd"/>
            <w:r w:rsidRPr="00260DB9">
              <w:t xml:space="preserve">: </w:t>
            </w:r>
            <w:proofErr w:type="spellStart"/>
            <w:r w:rsidRPr="00260DB9">
              <w:t>An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introduction</w:t>
            </w:r>
            <w:proofErr w:type="spellEnd"/>
            <w:r w:rsidRPr="00260DB9">
              <w:t xml:space="preserve">. </w:t>
            </w:r>
            <w:proofErr w:type="spellStart"/>
            <w:r w:rsidRPr="00260DB9">
              <w:t>Amsterdam</w:t>
            </w:r>
            <w:proofErr w:type="spellEnd"/>
            <w:r w:rsidRPr="00260DB9">
              <w:t xml:space="preserve">: </w:t>
            </w:r>
            <w:proofErr w:type="spellStart"/>
            <w:r w:rsidRPr="00260DB9">
              <w:t>John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Benjamin’s</w:t>
            </w:r>
            <w:proofErr w:type="spellEnd"/>
            <w:r w:rsidRPr="00260DB9">
              <w:t>, 2005. 412 p.</w:t>
            </w:r>
          </w:p>
          <w:p w14:paraId="00705050" w14:textId="77777777" w:rsidR="00260DB9" w:rsidRPr="00260DB9" w:rsidRDefault="00260DB9" w:rsidP="00260DB9">
            <w:pPr>
              <w:jc w:val="both"/>
            </w:pPr>
            <w:r w:rsidRPr="00260DB9">
              <w:t xml:space="preserve">16. </w:t>
            </w:r>
            <w:proofErr w:type="spellStart"/>
            <w:r w:rsidRPr="00260DB9">
              <w:t>Myers-Scotton</w:t>
            </w:r>
            <w:proofErr w:type="spellEnd"/>
            <w:r w:rsidRPr="00260DB9">
              <w:t xml:space="preserve"> C. </w:t>
            </w:r>
            <w:proofErr w:type="spellStart"/>
            <w:r w:rsidRPr="00260DB9">
              <w:t>Social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motivations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for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codeswitching</w:t>
            </w:r>
            <w:proofErr w:type="spellEnd"/>
            <w:r w:rsidRPr="00260DB9">
              <w:t xml:space="preserve">: </w:t>
            </w:r>
            <w:proofErr w:type="spellStart"/>
            <w:r w:rsidRPr="00260DB9">
              <w:t>Evidence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from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Africa</w:t>
            </w:r>
            <w:proofErr w:type="spellEnd"/>
            <w:r w:rsidRPr="00260DB9">
              <w:t xml:space="preserve">. </w:t>
            </w:r>
            <w:proofErr w:type="spellStart"/>
            <w:r w:rsidRPr="00260DB9">
              <w:t>Oxford</w:t>
            </w:r>
            <w:proofErr w:type="spellEnd"/>
            <w:r w:rsidRPr="00260DB9">
              <w:t xml:space="preserve">: </w:t>
            </w:r>
            <w:proofErr w:type="spellStart"/>
            <w:r w:rsidRPr="00260DB9">
              <w:t>Clarendon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Press</w:t>
            </w:r>
            <w:proofErr w:type="spellEnd"/>
            <w:r w:rsidRPr="00260DB9">
              <w:t>, 2013. 243 p.</w:t>
            </w:r>
          </w:p>
          <w:p w14:paraId="6FC5BC90" w14:textId="77777777" w:rsidR="00260DB9" w:rsidRPr="00260DB9" w:rsidRDefault="00260DB9" w:rsidP="00260DB9">
            <w:pPr>
              <w:jc w:val="both"/>
            </w:pPr>
            <w:r w:rsidRPr="00260DB9">
              <w:t xml:space="preserve">17. </w:t>
            </w:r>
            <w:proofErr w:type="spellStart"/>
            <w:r w:rsidRPr="00260DB9">
              <w:t>Romaine</w:t>
            </w:r>
            <w:proofErr w:type="spellEnd"/>
            <w:r w:rsidRPr="00260DB9">
              <w:t xml:space="preserve"> S. </w:t>
            </w:r>
            <w:proofErr w:type="spellStart"/>
            <w:r w:rsidRPr="00260DB9">
              <w:t>Bilingualism</w:t>
            </w:r>
            <w:proofErr w:type="spellEnd"/>
            <w:r w:rsidRPr="00260DB9">
              <w:t xml:space="preserve">. </w:t>
            </w:r>
            <w:proofErr w:type="spellStart"/>
            <w:r w:rsidRPr="00260DB9">
              <w:t>Oxford</w:t>
            </w:r>
            <w:proofErr w:type="spellEnd"/>
            <w:r w:rsidRPr="00260DB9">
              <w:t xml:space="preserve">: </w:t>
            </w:r>
            <w:proofErr w:type="spellStart"/>
            <w:r w:rsidRPr="00260DB9">
              <w:t>Basil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Blackwell</w:t>
            </w:r>
            <w:proofErr w:type="spellEnd"/>
            <w:r w:rsidRPr="00260DB9">
              <w:t xml:space="preserve">, 2009. 212 p.  </w:t>
            </w:r>
          </w:p>
          <w:p w14:paraId="0FDFE6AA" w14:textId="77777777" w:rsidR="00260DB9" w:rsidRPr="00260DB9" w:rsidRDefault="00260DB9" w:rsidP="00260DB9">
            <w:pPr>
              <w:jc w:val="both"/>
            </w:pPr>
            <w:r w:rsidRPr="00260DB9">
              <w:t xml:space="preserve">18. </w:t>
            </w:r>
            <w:proofErr w:type="spellStart"/>
            <w:r w:rsidRPr="00260DB9">
              <w:t>Todd</w:t>
            </w:r>
            <w:proofErr w:type="spellEnd"/>
            <w:r w:rsidRPr="00260DB9">
              <w:t xml:space="preserve"> L. </w:t>
            </w:r>
            <w:proofErr w:type="spellStart"/>
            <w:r w:rsidRPr="00260DB9">
              <w:t>Pidgins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and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creoles</w:t>
            </w:r>
            <w:proofErr w:type="spellEnd"/>
            <w:r w:rsidRPr="00260DB9">
              <w:t xml:space="preserve">. </w:t>
            </w:r>
            <w:proofErr w:type="spellStart"/>
            <w:r w:rsidRPr="00260DB9">
              <w:t>London</w:t>
            </w:r>
            <w:proofErr w:type="spellEnd"/>
            <w:r w:rsidRPr="00260DB9">
              <w:t xml:space="preserve">: </w:t>
            </w:r>
            <w:proofErr w:type="spellStart"/>
            <w:r w:rsidRPr="00260DB9">
              <w:t>Routledge</w:t>
            </w:r>
            <w:proofErr w:type="spellEnd"/>
            <w:r w:rsidRPr="00260DB9">
              <w:t>, 1990. 310 p.</w:t>
            </w:r>
          </w:p>
          <w:p w14:paraId="1BA0BAA3" w14:textId="77777777" w:rsidR="00260DB9" w:rsidRPr="00260DB9" w:rsidRDefault="00260DB9" w:rsidP="00260DB9">
            <w:pPr>
              <w:jc w:val="both"/>
            </w:pPr>
            <w:r w:rsidRPr="00260DB9">
              <w:t xml:space="preserve">19. </w:t>
            </w:r>
            <w:proofErr w:type="spellStart"/>
            <w:r w:rsidRPr="00260DB9">
              <w:t>Weinreich</w:t>
            </w:r>
            <w:proofErr w:type="spellEnd"/>
            <w:r w:rsidRPr="00260DB9">
              <w:t xml:space="preserve"> U. </w:t>
            </w:r>
            <w:proofErr w:type="spellStart"/>
            <w:r w:rsidRPr="00260DB9">
              <w:t>Languages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in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contact</w:t>
            </w:r>
            <w:proofErr w:type="spellEnd"/>
            <w:r w:rsidRPr="00260DB9">
              <w:t xml:space="preserve">: </w:t>
            </w:r>
            <w:proofErr w:type="spellStart"/>
            <w:r w:rsidRPr="00260DB9">
              <w:t>Findings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and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problems</w:t>
            </w:r>
            <w:proofErr w:type="spellEnd"/>
            <w:r w:rsidRPr="00260DB9">
              <w:t xml:space="preserve">. </w:t>
            </w:r>
            <w:proofErr w:type="spellStart"/>
            <w:r w:rsidRPr="00260DB9">
              <w:t>The</w:t>
            </w:r>
            <w:proofErr w:type="spellEnd"/>
            <w:r w:rsidRPr="00260DB9">
              <w:t xml:space="preserve"> </w:t>
            </w:r>
            <w:proofErr w:type="spellStart"/>
            <w:r w:rsidRPr="00260DB9">
              <w:t>Hague</w:t>
            </w:r>
            <w:proofErr w:type="spellEnd"/>
            <w:r w:rsidRPr="00260DB9">
              <w:t xml:space="preserve">: </w:t>
            </w:r>
            <w:proofErr w:type="spellStart"/>
            <w:r w:rsidRPr="00260DB9">
              <w:t>Mouton</w:t>
            </w:r>
            <w:proofErr w:type="spellEnd"/>
            <w:r w:rsidRPr="00260DB9">
              <w:t>, 1993. 296 p.</w:t>
            </w:r>
          </w:p>
          <w:p w14:paraId="0024BF82" w14:textId="77777777" w:rsidR="00260DB9" w:rsidRPr="00260DB9" w:rsidRDefault="00260DB9" w:rsidP="00260DB9">
            <w:pPr>
              <w:jc w:val="both"/>
              <w:rPr>
                <w:i/>
                <w:iCs/>
              </w:rPr>
            </w:pPr>
            <w:r w:rsidRPr="00260DB9">
              <w:rPr>
                <w:i/>
                <w:iCs/>
              </w:rPr>
              <w:t>Інформаційні ресурси</w:t>
            </w:r>
          </w:p>
          <w:p w14:paraId="1CD38BDC" w14:textId="77777777" w:rsidR="00260DB9" w:rsidRPr="00260DB9" w:rsidRDefault="00260DB9" w:rsidP="00260DB9">
            <w:pPr>
              <w:jc w:val="both"/>
            </w:pPr>
            <w:r w:rsidRPr="00260DB9">
              <w:t>Бібліотека університету та її депозитарій (</w:t>
            </w:r>
            <w:r w:rsidRPr="00260DB9">
              <w:rPr>
                <w:lang w:val="en-IE"/>
              </w:rPr>
              <w:t>https</w:t>
            </w:r>
            <w:r w:rsidRPr="00260DB9">
              <w:t>://</w:t>
            </w:r>
            <w:r w:rsidRPr="00260DB9">
              <w:rPr>
                <w:lang w:val="en-IE"/>
              </w:rPr>
              <w:t>library</w:t>
            </w:r>
            <w:r w:rsidRPr="00260DB9">
              <w:t>.</w:t>
            </w:r>
            <w:proofErr w:type="spellStart"/>
            <w:r w:rsidRPr="00260DB9">
              <w:rPr>
                <w:lang w:val="en-IE"/>
              </w:rPr>
              <w:t>ust</w:t>
            </w:r>
            <w:proofErr w:type="spellEnd"/>
            <w:r w:rsidRPr="00260DB9">
              <w:t>.</w:t>
            </w:r>
            <w:proofErr w:type="spellStart"/>
            <w:r w:rsidRPr="00260DB9">
              <w:rPr>
                <w:lang w:val="en-IE"/>
              </w:rPr>
              <w:t>edu</w:t>
            </w:r>
            <w:proofErr w:type="spellEnd"/>
            <w:r w:rsidRPr="00260DB9">
              <w:t>.</w:t>
            </w:r>
            <w:proofErr w:type="spellStart"/>
            <w:r w:rsidRPr="00260DB9">
              <w:rPr>
                <w:lang w:val="en-IE"/>
              </w:rPr>
              <w:t>ua</w:t>
            </w:r>
            <w:proofErr w:type="spellEnd"/>
            <w:r w:rsidRPr="00260DB9">
              <w:t>/</w:t>
            </w:r>
            <w:proofErr w:type="spellStart"/>
            <w:r w:rsidRPr="00260DB9">
              <w:rPr>
                <w:lang w:val="en-IE"/>
              </w:rPr>
              <w:t>uk</w:t>
            </w:r>
            <w:proofErr w:type="spellEnd"/>
            <w:r w:rsidRPr="00260DB9">
              <w:t>/</w:t>
            </w:r>
            <w:proofErr w:type="spellStart"/>
            <w:r w:rsidRPr="00260DB9">
              <w:rPr>
                <w:lang w:val="en-IE"/>
              </w:rPr>
              <w:t>catalog</w:t>
            </w:r>
            <w:proofErr w:type="spellEnd"/>
            <w:r w:rsidRPr="00260DB9">
              <w:t>?</w:t>
            </w:r>
            <w:r w:rsidRPr="00260DB9">
              <w:rPr>
                <w:lang w:val="en-IE"/>
              </w:rPr>
              <w:t>category</w:t>
            </w:r>
            <w:r w:rsidRPr="00260DB9">
              <w:t>=</w:t>
            </w:r>
            <w:r w:rsidRPr="00260DB9">
              <w:rPr>
                <w:lang w:val="en-IE"/>
              </w:rPr>
              <w:t>books</w:t>
            </w:r>
            <w:r w:rsidRPr="00260DB9">
              <w:t>-</w:t>
            </w:r>
            <w:r w:rsidRPr="00260DB9">
              <w:rPr>
                <w:lang w:val="en-IE"/>
              </w:rPr>
              <w:t>and</w:t>
            </w:r>
            <w:r w:rsidRPr="00260DB9">
              <w:t>-</w:t>
            </w:r>
            <w:r w:rsidRPr="00260DB9">
              <w:rPr>
                <w:lang w:val="en-IE"/>
              </w:rPr>
              <w:t>other</w:t>
            </w:r>
            <w:r w:rsidRPr="00260DB9">
              <w:t>).</w:t>
            </w:r>
          </w:p>
          <w:p w14:paraId="6F0D43E5" w14:textId="5FD4948D" w:rsidR="00B02574" w:rsidRPr="00A7215D" w:rsidRDefault="00B02574" w:rsidP="00A7215D">
            <w:pPr>
              <w:jc w:val="both"/>
            </w:pPr>
          </w:p>
        </w:tc>
      </w:tr>
    </w:tbl>
    <w:p w14:paraId="75565482" w14:textId="77777777" w:rsidR="00D7334F" w:rsidRPr="00CC484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5BDD" w14:textId="77777777" w:rsidR="005334A7" w:rsidRDefault="005334A7">
      <w:r>
        <w:separator/>
      </w:r>
    </w:p>
  </w:endnote>
  <w:endnote w:type="continuationSeparator" w:id="0">
    <w:p w14:paraId="2E0DC3A9" w14:textId="77777777" w:rsidR="005334A7" w:rsidRDefault="0053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B45D0F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B45D0F" w:rsidRDefault="00B45D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B45D0F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B45D0F" w:rsidRDefault="00B45D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0897" w14:textId="77777777" w:rsidR="005334A7" w:rsidRDefault="005334A7">
      <w:r>
        <w:separator/>
      </w:r>
    </w:p>
  </w:footnote>
  <w:footnote w:type="continuationSeparator" w:id="0">
    <w:p w14:paraId="0B0A152E" w14:textId="77777777" w:rsidR="005334A7" w:rsidRDefault="00533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4"/>
  </w:num>
  <w:num w:numId="2" w16cid:durableId="1150705726">
    <w:abstractNumId w:val="5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2"/>
  </w:num>
  <w:num w:numId="6" w16cid:durableId="158368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0371EF"/>
    <w:rsid w:val="00202FC2"/>
    <w:rsid w:val="00220DC0"/>
    <w:rsid w:val="00260DB9"/>
    <w:rsid w:val="00262DCD"/>
    <w:rsid w:val="003D560A"/>
    <w:rsid w:val="00422977"/>
    <w:rsid w:val="005334A7"/>
    <w:rsid w:val="00533ABE"/>
    <w:rsid w:val="005A6663"/>
    <w:rsid w:val="005A798B"/>
    <w:rsid w:val="005C14C4"/>
    <w:rsid w:val="005E4773"/>
    <w:rsid w:val="00606312"/>
    <w:rsid w:val="006079B2"/>
    <w:rsid w:val="006C41BD"/>
    <w:rsid w:val="008200D6"/>
    <w:rsid w:val="008927D3"/>
    <w:rsid w:val="009C59F1"/>
    <w:rsid w:val="00A7215D"/>
    <w:rsid w:val="00A72F5B"/>
    <w:rsid w:val="00AB4410"/>
    <w:rsid w:val="00B02574"/>
    <w:rsid w:val="00B31B19"/>
    <w:rsid w:val="00B45D0F"/>
    <w:rsid w:val="00CA1617"/>
    <w:rsid w:val="00CC484F"/>
    <w:rsid w:val="00D06913"/>
    <w:rsid w:val="00D13E18"/>
    <w:rsid w:val="00D7334F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1235</Words>
  <Characters>8405</Characters>
  <Application>Microsoft Office Word</Application>
  <DocSecurity>0</DocSecurity>
  <Lines>247</Lines>
  <Paragraphs>125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Oksana Bohovyk</cp:lastModifiedBy>
  <cp:revision>13</cp:revision>
  <dcterms:created xsi:type="dcterms:W3CDTF">2023-01-03T12:39:00Z</dcterms:created>
  <dcterms:modified xsi:type="dcterms:W3CDTF">2023-12-17T18:03:00Z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6122b92dba8cda4520dcaf8e86c084310167a06d643454ae8bb0e91e0ab68011</vt:lpwstr>
  </property>
</Properties>
</file>