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F98D" w14:textId="1316FB2F" w:rsidR="00B65FF6" w:rsidRPr="004B294E" w:rsidRDefault="002E3214" w:rsidP="001B546E">
      <w:pPr>
        <w:pStyle w:val="0"/>
      </w:pPr>
      <w:r w:rsidRPr="001B546E">
        <w:t>Арпуль</w:t>
      </w:r>
      <w:r>
        <w:t xml:space="preserve"> Сергій Вікторович</w:t>
      </w:r>
    </w:p>
    <w:p w14:paraId="4D3A8DA8" w14:textId="12D71DD8" w:rsidR="00224DE9" w:rsidRPr="00566D9C" w:rsidRDefault="002E3214" w:rsidP="001B546E">
      <w:pPr>
        <w:pStyle w:val="01"/>
      </w:pPr>
      <w:r>
        <w:t>кандидат</w:t>
      </w:r>
      <w:r w:rsidR="00D72BA3" w:rsidRPr="00566D9C">
        <w:t xml:space="preserve"> технічних наук, </w:t>
      </w:r>
      <w:r>
        <w:t>доцент</w:t>
      </w:r>
      <w:r w:rsidR="004B294E" w:rsidRPr="00566D9C">
        <w:t xml:space="preserve">, </w:t>
      </w:r>
      <w:r>
        <w:t>декан факультету</w:t>
      </w:r>
    </w:p>
    <w:p w14:paraId="26125BD9" w14:textId="77777777" w:rsidR="002E3214" w:rsidRPr="002E3214" w:rsidRDefault="00B65FF6" w:rsidP="002E3214">
      <w:pPr>
        <w:pStyle w:val="12"/>
      </w:pPr>
      <w:r w:rsidRPr="0005609B">
        <w:t xml:space="preserve">1. </w:t>
      </w:r>
      <w:r w:rsidR="004B294E" w:rsidRPr="002E3214">
        <w:t>Освіта</w:t>
      </w:r>
      <w:r w:rsidR="004B294E" w:rsidRPr="0005609B">
        <w:t>:</w:t>
      </w:r>
    </w:p>
    <w:p w14:paraId="76F04C9B" w14:textId="5E9570B9" w:rsidR="002E3214" w:rsidRPr="002E3214" w:rsidRDefault="002E3214" w:rsidP="002E3214">
      <w:pPr>
        <w:pStyle w:val="2"/>
      </w:pPr>
      <w:r w:rsidRPr="002E3214">
        <w:t>Дніпропетровський державний технічний університет залізничного транспорту, магістр, інженер-електромеханік, 2001 р.</w:t>
      </w:r>
    </w:p>
    <w:p w14:paraId="744C8A83" w14:textId="0E3F0A6A" w:rsidR="00B65FF6" w:rsidRPr="004B294E" w:rsidRDefault="00B65FF6" w:rsidP="002E3214">
      <w:pPr>
        <w:pStyle w:val="12"/>
      </w:pPr>
      <w:r w:rsidRPr="0005609B">
        <w:t xml:space="preserve">2. </w:t>
      </w:r>
      <w:r w:rsidR="0005609B">
        <w:t>Захищен</w:t>
      </w:r>
      <w:r w:rsidR="002E3214">
        <w:t>а</w:t>
      </w:r>
      <w:r w:rsidR="0005609B">
        <w:t xml:space="preserve"> д</w:t>
      </w:r>
      <w:r w:rsidR="004B294E" w:rsidRPr="0005609B">
        <w:t>исертаці</w:t>
      </w:r>
      <w:r w:rsidR="002E3214">
        <w:t>я</w:t>
      </w:r>
      <w:r w:rsidR="004B294E" w:rsidRPr="0005609B">
        <w:t>:</w:t>
      </w:r>
    </w:p>
    <w:p w14:paraId="376AAFDD" w14:textId="4D54E035" w:rsidR="00383361" w:rsidRPr="002E3214" w:rsidRDefault="001B546E" w:rsidP="001B546E">
      <w:pPr>
        <w:pStyle w:val="3"/>
      </w:pPr>
      <w:r w:rsidRPr="001B546E">
        <w:t>Визначення раціонального ряду потужностей пасажирських електровозів для залізниць України</w:t>
      </w:r>
      <w:r w:rsidR="00A26F45" w:rsidRPr="002E3214">
        <w:t xml:space="preserve">, </w:t>
      </w:r>
      <w:proofErr w:type="spellStart"/>
      <w:r w:rsidR="00A26F45" w:rsidRPr="002E3214">
        <w:t>к.т.н</w:t>
      </w:r>
      <w:proofErr w:type="spellEnd"/>
      <w:r w:rsidR="00A26F45" w:rsidRPr="002E3214">
        <w:t>.,</w:t>
      </w:r>
      <w:r w:rsidR="002A4942">
        <w:rPr>
          <w:lang w:val="ru-RU"/>
        </w:rPr>
        <w:t xml:space="preserve"> </w:t>
      </w:r>
      <w:r w:rsidR="002A4942">
        <w:t>спеціальність</w:t>
      </w:r>
      <w:r w:rsidR="002A4942" w:rsidRPr="00C67490">
        <w:t xml:space="preserve"> 05.22.09 – електротранспорт</w:t>
      </w:r>
      <w:r w:rsidR="002A4942">
        <w:t>,</w:t>
      </w:r>
      <w:r w:rsidR="00A26F45" w:rsidRPr="002E3214">
        <w:t xml:space="preserve"> </w:t>
      </w:r>
      <w:r>
        <w:t>2010</w:t>
      </w:r>
      <w:r w:rsidR="00DF725C" w:rsidRPr="002E3214">
        <w:t xml:space="preserve"> </w:t>
      </w:r>
      <w:r w:rsidR="00383361" w:rsidRPr="002E3214">
        <w:t>р.</w:t>
      </w:r>
    </w:p>
    <w:p w14:paraId="3985BA85" w14:textId="77777777" w:rsidR="00A5773E" w:rsidRDefault="00A5773E" w:rsidP="001B546E">
      <w:pPr>
        <w:pStyle w:val="12"/>
      </w:pPr>
      <w:r w:rsidRPr="0005609B">
        <w:t>3. Коло наукових інтересів</w:t>
      </w:r>
      <w:r>
        <w:t>:</w:t>
      </w:r>
    </w:p>
    <w:p w14:paraId="692B55DD" w14:textId="3E23D553" w:rsidR="001B546E" w:rsidRDefault="001B546E" w:rsidP="001B546E">
      <w:pPr>
        <w:pStyle w:val="3"/>
      </w:pPr>
      <w:r>
        <w:t>визначення раціональних параметрів номінального режиму електрорухомого складу для високошвидкісних залізниць;</w:t>
      </w:r>
    </w:p>
    <w:p w14:paraId="5A515C7A" w14:textId="25B52FEC" w:rsidR="00752062" w:rsidRDefault="00A5773E" w:rsidP="001B546E">
      <w:pPr>
        <w:pStyle w:val="3"/>
      </w:pPr>
      <w:r>
        <w:t>підвищення енергетичної ефективності електрорухомого складу</w:t>
      </w:r>
      <w:r w:rsidR="00752062">
        <w:t>;</w:t>
      </w:r>
    </w:p>
    <w:p w14:paraId="408226D3" w14:textId="77777777" w:rsidR="008125D5" w:rsidRDefault="00A5773E" w:rsidP="001B546E">
      <w:pPr>
        <w:pStyle w:val="3"/>
      </w:pPr>
      <w:r w:rsidRPr="004B294E">
        <w:t>вдосконалення методів випробування тягових електричних машин</w:t>
      </w:r>
      <w:r w:rsidR="008125D5">
        <w:t>;</w:t>
      </w:r>
    </w:p>
    <w:p w14:paraId="7E7F15CA" w14:textId="250D01E6" w:rsidR="005950CA" w:rsidRPr="001B546E" w:rsidRDefault="008125D5" w:rsidP="001B546E">
      <w:pPr>
        <w:pStyle w:val="3"/>
      </w:pPr>
      <w:r w:rsidRPr="008125D5">
        <w:t>використання бортови</w:t>
      </w:r>
      <w:r>
        <w:t>х</w:t>
      </w:r>
      <w:r w:rsidRPr="008125D5">
        <w:t xml:space="preserve"> накопичувач</w:t>
      </w:r>
      <w:r>
        <w:t>ів</w:t>
      </w:r>
      <w:r w:rsidRPr="008125D5">
        <w:t xml:space="preserve"> електроенергії</w:t>
      </w:r>
      <w:r>
        <w:t xml:space="preserve"> на</w:t>
      </w:r>
      <w:r w:rsidRPr="008125D5">
        <w:t xml:space="preserve"> автономн</w:t>
      </w:r>
      <w:r>
        <w:t>ому</w:t>
      </w:r>
      <w:r w:rsidRPr="008125D5">
        <w:t xml:space="preserve"> </w:t>
      </w:r>
      <w:r>
        <w:t>рухомому складі</w:t>
      </w:r>
      <w:r w:rsidR="001B546E">
        <w:t>.</w:t>
      </w:r>
    </w:p>
    <w:p w14:paraId="6C73E622" w14:textId="77777777" w:rsidR="00752062" w:rsidRPr="0005609B" w:rsidRDefault="00752062" w:rsidP="001B546E">
      <w:pPr>
        <w:pStyle w:val="12"/>
      </w:pPr>
      <w:r w:rsidRPr="0005609B">
        <w:t>4. Наукові публікації:</w:t>
      </w:r>
    </w:p>
    <w:p w14:paraId="35509B04" w14:textId="78F68876" w:rsidR="005950CA" w:rsidRDefault="005950CA" w:rsidP="008125D5">
      <w:pPr>
        <w:pStyle w:val="3"/>
      </w:pPr>
      <w:r>
        <w:t>дві монографії;</w:t>
      </w:r>
    </w:p>
    <w:p w14:paraId="7057BB3F" w14:textId="3BD608EE" w:rsidR="00752062" w:rsidRDefault="007F700A" w:rsidP="008125D5">
      <w:pPr>
        <w:pStyle w:val="3"/>
      </w:pPr>
      <w:r>
        <w:t>31</w:t>
      </w:r>
      <w:r w:rsidR="00752062">
        <w:t xml:space="preserve"> науков</w:t>
      </w:r>
      <w:r>
        <w:t>а</w:t>
      </w:r>
      <w:r w:rsidR="00752062">
        <w:t xml:space="preserve"> стат</w:t>
      </w:r>
      <w:r>
        <w:t>тя</w:t>
      </w:r>
      <w:r w:rsidR="00752062">
        <w:t xml:space="preserve"> у фахових виданнях;</w:t>
      </w:r>
    </w:p>
    <w:p w14:paraId="4447970A" w14:textId="052852DB" w:rsidR="0005609B" w:rsidRDefault="007F700A" w:rsidP="008125D5">
      <w:pPr>
        <w:pStyle w:val="3"/>
      </w:pPr>
      <w:r>
        <w:t>20</w:t>
      </w:r>
      <w:r w:rsidR="00752062">
        <w:t xml:space="preserve"> тез </w:t>
      </w:r>
      <w:r w:rsidR="005950CA">
        <w:t>м</w:t>
      </w:r>
      <w:r w:rsidR="0005609B">
        <w:t>іжнародних наукових конференцій</w:t>
      </w:r>
      <w:r>
        <w:t>.</w:t>
      </w:r>
    </w:p>
    <w:p w14:paraId="2EF9E61D" w14:textId="77777777" w:rsidR="005950CA" w:rsidRPr="0005609B" w:rsidRDefault="005950CA" w:rsidP="008125D5">
      <w:pPr>
        <w:pStyle w:val="12"/>
      </w:pPr>
      <w:r w:rsidRPr="0005609B">
        <w:t>5. Навчально-методичні роботи:</w:t>
      </w:r>
    </w:p>
    <w:p w14:paraId="43FDC120" w14:textId="22CAC4B5" w:rsidR="005950CA" w:rsidRDefault="00AC6156" w:rsidP="008125D5">
      <w:pPr>
        <w:pStyle w:val="3"/>
      </w:pPr>
      <w:r>
        <w:t>три</w:t>
      </w:r>
      <w:r w:rsidR="005950CA">
        <w:t xml:space="preserve"> освітньо-професійні програми;</w:t>
      </w:r>
    </w:p>
    <w:p w14:paraId="78E6B340" w14:textId="75873599" w:rsidR="00B65FF6" w:rsidRDefault="007F700A" w:rsidP="008125D5">
      <w:pPr>
        <w:pStyle w:val="3"/>
      </w:pPr>
      <w:r>
        <w:t>4</w:t>
      </w:r>
      <w:r w:rsidR="005950CA">
        <w:t xml:space="preserve"> методичн</w:t>
      </w:r>
      <w:r>
        <w:t>і</w:t>
      </w:r>
      <w:r w:rsidR="005950CA">
        <w:t xml:space="preserve"> вказів</w:t>
      </w:r>
      <w:r>
        <w:t>ки</w:t>
      </w:r>
      <w:r w:rsidR="005950CA">
        <w:t xml:space="preserve"> до виконання </w:t>
      </w:r>
      <w:r>
        <w:t xml:space="preserve">дипломних та </w:t>
      </w:r>
      <w:r w:rsidR="005950CA">
        <w:t>курсових робіт;</w:t>
      </w:r>
    </w:p>
    <w:p w14:paraId="45779B28" w14:textId="66F84CE5" w:rsidR="005950CA" w:rsidRDefault="00AC6156" w:rsidP="008125D5">
      <w:pPr>
        <w:pStyle w:val="3"/>
      </w:pPr>
      <w:r>
        <w:t>3</w:t>
      </w:r>
      <w:r w:rsidR="005950CA">
        <w:t xml:space="preserve"> курси дистанційного навчання;</w:t>
      </w:r>
    </w:p>
    <w:p w14:paraId="18881F95" w14:textId="5E3F8EEA" w:rsidR="005950CA" w:rsidRDefault="00AC6156" w:rsidP="008125D5">
      <w:pPr>
        <w:pStyle w:val="3"/>
      </w:pPr>
      <w:r>
        <w:t>3</w:t>
      </w:r>
      <w:r w:rsidR="005950CA">
        <w:t xml:space="preserve"> робоч</w:t>
      </w:r>
      <w:r w:rsidR="007F700A">
        <w:t>і</w:t>
      </w:r>
      <w:r w:rsidR="005950CA">
        <w:t xml:space="preserve"> програм</w:t>
      </w:r>
      <w:r w:rsidR="007F700A">
        <w:t>и</w:t>
      </w:r>
      <w:r w:rsidR="005950CA">
        <w:t xml:space="preserve"> навчальних дисциплін.</w:t>
      </w:r>
    </w:p>
    <w:p w14:paraId="0C1294D7" w14:textId="77777777" w:rsidR="00B65FF6" w:rsidRPr="0005609B" w:rsidRDefault="005950CA" w:rsidP="008125D5">
      <w:pPr>
        <w:pStyle w:val="12"/>
      </w:pPr>
      <w:r w:rsidRPr="0005609B">
        <w:t>6</w:t>
      </w:r>
      <w:r w:rsidR="00B65FF6" w:rsidRPr="0005609B">
        <w:t xml:space="preserve">. </w:t>
      </w:r>
      <w:r w:rsidR="00752062" w:rsidRPr="0005609B">
        <w:t>Дисципліни, що викладаються:</w:t>
      </w:r>
    </w:p>
    <w:p w14:paraId="3FE4A35E" w14:textId="65DB9894" w:rsidR="00752062" w:rsidRDefault="007F700A" w:rsidP="008125D5">
      <w:pPr>
        <w:pStyle w:val="3"/>
      </w:pPr>
      <w:r>
        <w:t>тягові електричні машини</w:t>
      </w:r>
      <w:r w:rsidR="00752062">
        <w:t>;</w:t>
      </w:r>
    </w:p>
    <w:p w14:paraId="347943A7" w14:textId="285C34F6" w:rsidR="00AC6156" w:rsidRDefault="00AC6156" w:rsidP="008125D5">
      <w:pPr>
        <w:pStyle w:val="3"/>
      </w:pPr>
      <w:r>
        <w:t>основи високошвидкісного залізничного транспорту;</w:t>
      </w:r>
    </w:p>
    <w:p w14:paraId="415C2DE2" w14:textId="11A885BC" w:rsidR="00752062" w:rsidRDefault="007F700A" w:rsidP="008125D5">
      <w:pPr>
        <w:pStyle w:val="3"/>
      </w:pPr>
      <w:r>
        <w:t>високошвидкісний електричний транспорт.</w:t>
      </w:r>
    </w:p>
    <w:p w14:paraId="082D5433" w14:textId="3DAB2937" w:rsidR="00566D9C" w:rsidRDefault="00566D9C" w:rsidP="008125D5">
      <w:pPr>
        <w:pStyle w:val="12"/>
      </w:pPr>
      <w:r w:rsidRPr="0005609B">
        <w:t>7</w:t>
      </w:r>
      <w:r w:rsidR="00B65FF6" w:rsidRPr="0005609B">
        <w:t xml:space="preserve">. </w:t>
      </w:r>
      <w:r w:rsidRPr="0005609B">
        <w:t>Основні публікації за останні 5 років:</w:t>
      </w:r>
    </w:p>
    <w:p w14:paraId="3D528051" w14:textId="56849EEC" w:rsidR="007F700A" w:rsidRDefault="007F700A" w:rsidP="007F700A">
      <w:pPr>
        <w:pStyle w:val="3"/>
      </w:pPr>
      <w:r>
        <w:t>Арпуль С. В., Гетьман Г. К. Визначення ефективності модульної тяги // Електрифікація транспорту. – № 13, 2017. – С. 28-32</w:t>
      </w:r>
      <w:r w:rsidR="00A95D21">
        <w:rPr>
          <w:lang w:val="ru-RU"/>
        </w:rPr>
        <w:t xml:space="preserve"> </w:t>
      </w:r>
      <w:r w:rsidR="00A95D21" w:rsidRPr="00A37309">
        <w:t>(фахове видання)</w:t>
      </w:r>
      <w:r w:rsidR="007D144F">
        <w:t>;</w:t>
      </w:r>
    </w:p>
    <w:p w14:paraId="6A58FEB1" w14:textId="5E20B05B" w:rsidR="007F700A" w:rsidRDefault="007F700A" w:rsidP="007F700A">
      <w:pPr>
        <w:pStyle w:val="3"/>
      </w:pPr>
      <w:proofErr w:type="spellStart"/>
      <w:r>
        <w:t>Афанасов</w:t>
      </w:r>
      <w:proofErr w:type="spellEnd"/>
      <w:r>
        <w:t xml:space="preserve"> А. М., Арпуль С. В., </w:t>
      </w:r>
      <w:proofErr w:type="spellStart"/>
      <w:r>
        <w:t>Друбецкий</w:t>
      </w:r>
      <w:proofErr w:type="spellEnd"/>
      <w:r>
        <w:t xml:space="preserve"> А. Е. Синтез систем </w:t>
      </w:r>
      <w:proofErr w:type="spellStart"/>
      <w:r>
        <w:t>взаимного</w:t>
      </w:r>
      <w:proofErr w:type="spellEnd"/>
      <w:r>
        <w:t xml:space="preserve"> </w:t>
      </w:r>
      <w:proofErr w:type="spellStart"/>
      <w:r>
        <w:t>нагружения</w:t>
      </w:r>
      <w:proofErr w:type="spellEnd"/>
      <w:r>
        <w:t xml:space="preserve"> </w:t>
      </w:r>
      <w:proofErr w:type="spellStart"/>
      <w:r>
        <w:t>тяговых</w:t>
      </w:r>
      <w:proofErr w:type="spellEnd"/>
      <w:r>
        <w:t xml:space="preserve"> </w:t>
      </w:r>
      <w:proofErr w:type="spellStart"/>
      <w:r>
        <w:t>двигателей</w:t>
      </w:r>
      <w:proofErr w:type="spellEnd"/>
      <w:r>
        <w:t xml:space="preserve"> </w:t>
      </w:r>
      <w:proofErr w:type="spellStart"/>
      <w:r>
        <w:t>постоянного</w:t>
      </w:r>
      <w:proofErr w:type="spellEnd"/>
      <w:r>
        <w:t xml:space="preserve"> и </w:t>
      </w:r>
      <w:proofErr w:type="spellStart"/>
      <w:r>
        <w:t>пульсирующего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// Електрифікація транспорту. – № 13, 2017. – С. 33-38</w:t>
      </w:r>
      <w:r w:rsidR="00A95D21">
        <w:rPr>
          <w:lang w:val="ru-RU"/>
        </w:rPr>
        <w:t xml:space="preserve"> </w:t>
      </w:r>
      <w:r w:rsidR="00A95D21" w:rsidRPr="00A37309">
        <w:t>(фахове видання)</w:t>
      </w:r>
      <w:r w:rsidR="007D144F">
        <w:t>;</w:t>
      </w:r>
    </w:p>
    <w:p w14:paraId="3A6F9AAD" w14:textId="3D601340" w:rsidR="007D144F" w:rsidRDefault="007D144F" w:rsidP="007D144F">
      <w:pPr>
        <w:pStyle w:val="3"/>
      </w:pPr>
      <w:proofErr w:type="spellStart"/>
      <w:r>
        <w:t>Афанасов</w:t>
      </w:r>
      <w:proofErr w:type="spellEnd"/>
      <w:r>
        <w:t xml:space="preserve"> А. М.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расхода</w:t>
      </w:r>
      <w:proofErr w:type="spellEnd"/>
      <w:r>
        <w:t xml:space="preserve"> </w:t>
      </w:r>
      <w:proofErr w:type="spellStart"/>
      <w:r>
        <w:t>электроэнергии</w:t>
      </w:r>
      <w:proofErr w:type="spellEnd"/>
      <w:r>
        <w:t xml:space="preserve"> на </w:t>
      </w:r>
      <w:proofErr w:type="spellStart"/>
      <w:r>
        <w:t>проведение</w:t>
      </w:r>
      <w:proofErr w:type="spellEnd"/>
      <w:r>
        <w:t xml:space="preserve"> </w:t>
      </w:r>
      <w:proofErr w:type="spellStart"/>
      <w:r>
        <w:t>приёмо-сдаточных</w:t>
      </w:r>
      <w:proofErr w:type="spellEnd"/>
      <w:r>
        <w:t xml:space="preserve"> </w:t>
      </w:r>
      <w:proofErr w:type="spellStart"/>
      <w:r>
        <w:t>испытаний</w:t>
      </w:r>
      <w:proofErr w:type="spellEnd"/>
      <w:r>
        <w:t xml:space="preserve"> </w:t>
      </w:r>
      <w:proofErr w:type="spellStart"/>
      <w:r>
        <w:t>тяговых</w:t>
      </w:r>
      <w:proofErr w:type="spellEnd"/>
      <w:r>
        <w:t xml:space="preserve"> </w:t>
      </w:r>
      <w:proofErr w:type="spellStart"/>
      <w:r>
        <w:t>электрических</w:t>
      </w:r>
      <w:proofErr w:type="spellEnd"/>
      <w:r>
        <w:t xml:space="preserve"> машин / А. М. </w:t>
      </w:r>
      <w:proofErr w:type="spellStart"/>
      <w:r>
        <w:t>Афанасов</w:t>
      </w:r>
      <w:proofErr w:type="spellEnd"/>
      <w:r>
        <w:t>, С. В. Арпуль, А. С. Шаповалов // Електромагнітна сумісність та безпека на залізничному транспорті. – 2018. – № 16. – С. 51-56</w:t>
      </w:r>
      <w:r w:rsidR="00A95D21">
        <w:rPr>
          <w:lang w:val="ru-RU"/>
        </w:rPr>
        <w:t xml:space="preserve"> </w:t>
      </w:r>
      <w:r w:rsidR="00A95D21" w:rsidRPr="00A37309">
        <w:t>(фахове видання)</w:t>
      </w:r>
      <w:r>
        <w:t>;</w:t>
      </w:r>
    </w:p>
    <w:p w14:paraId="749A6998" w14:textId="12C69848" w:rsidR="007D144F" w:rsidRDefault="007D144F" w:rsidP="007D144F">
      <w:pPr>
        <w:pStyle w:val="3"/>
      </w:pPr>
      <w:proofErr w:type="spellStart"/>
      <w:r>
        <w:lastRenderedPageBreak/>
        <w:t>Афанасов</w:t>
      </w:r>
      <w:proofErr w:type="spellEnd"/>
      <w:r>
        <w:t xml:space="preserve"> А. М. Моделювання області керуючих параметрів в рівнянні руху поїзда при вирішенні задач тягового забезпечення / А. М. </w:t>
      </w:r>
      <w:proofErr w:type="spellStart"/>
      <w:r>
        <w:t>Афанасов</w:t>
      </w:r>
      <w:proofErr w:type="spellEnd"/>
      <w:r>
        <w:t>, С. В. Арпуль // Електромагнітна сумісність та безпека на залізничному транспорті. – 2018. – № 15. – С. 38-41</w:t>
      </w:r>
      <w:r w:rsidR="00A95D21" w:rsidRPr="00A95D21">
        <w:t xml:space="preserve"> </w:t>
      </w:r>
      <w:r w:rsidR="00A95D21" w:rsidRPr="00A37309">
        <w:t>(фахове видання)</w:t>
      </w:r>
      <w:r>
        <w:t>;</w:t>
      </w:r>
    </w:p>
    <w:p w14:paraId="75E0A10C" w14:textId="32A601EE" w:rsidR="007D144F" w:rsidRDefault="00E578F1" w:rsidP="007D144F">
      <w:pPr>
        <w:pStyle w:val="3"/>
      </w:pPr>
      <w:proofErr w:type="spellStart"/>
      <w:r>
        <w:t>Васильев</w:t>
      </w:r>
      <w:proofErr w:type="spellEnd"/>
      <w:r w:rsidRPr="00E578F1">
        <w:t xml:space="preserve"> </w:t>
      </w:r>
      <w:r>
        <w:t xml:space="preserve">И. Л. </w:t>
      </w:r>
      <w:proofErr w:type="spellStart"/>
      <w:r w:rsidR="007D144F">
        <w:t>Разработка</w:t>
      </w:r>
      <w:proofErr w:type="spellEnd"/>
      <w:r w:rsidR="007D144F">
        <w:t xml:space="preserve"> </w:t>
      </w:r>
      <w:proofErr w:type="spellStart"/>
      <w:r w:rsidR="007D144F">
        <w:t>кинетического</w:t>
      </w:r>
      <w:proofErr w:type="spellEnd"/>
      <w:r w:rsidR="007D144F">
        <w:t xml:space="preserve"> </w:t>
      </w:r>
      <w:proofErr w:type="spellStart"/>
      <w:r w:rsidR="007D144F">
        <w:t>накопителя</w:t>
      </w:r>
      <w:proofErr w:type="spellEnd"/>
      <w:r w:rsidR="007D144F">
        <w:t xml:space="preserve"> </w:t>
      </w:r>
      <w:proofErr w:type="spellStart"/>
      <w:r w:rsidR="007D144F">
        <w:t>электрической</w:t>
      </w:r>
      <w:proofErr w:type="spellEnd"/>
      <w:r w:rsidR="007D144F">
        <w:t xml:space="preserve"> </w:t>
      </w:r>
      <w:proofErr w:type="spellStart"/>
      <w:r w:rsidR="007D144F">
        <w:t>энергии</w:t>
      </w:r>
      <w:proofErr w:type="spellEnd"/>
      <w:r w:rsidR="007D144F">
        <w:t xml:space="preserve"> с </w:t>
      </w:r>
      <w:proofErr w:type="spellStart"/>
      <w:r w:rsidR="007D144F">
        <w:t>магнитной</w:t>
      </w:r>
      <w:proofErr w:type="spellEnd"/>
      <w:r w:rsidR="007D144F">
        <w:t xml:space="preserve"> </w:t>
      </w:r>
      <w:proofErr w:type="spellStart"/>
      <w:r w:rsidR="007D144F">
        <w:t>компенсацией</w:t>
      </w:r>
      <w:proofErr w:type="spellEnd"/>
      <w:r w:rsidR="007D144F">
        <w:t xml:space="preserve"> / И. Л. </w:t>
      </w:r>
      <w:proofErr w:type="spellStart"/>
      <w:r w:rsidR="007D144F">
        <w:t>Васильев</w:t>
      </w:r>
      <w:proofErr w:type="spellEnd"/>
      <w:r w:rsidR="007D144F">
        <w:t xml:space="preserve">, В. Г. </w:t>
      </w:r>
      <w:proofErr w:type="spellStart"/>
      <w:r w:rsidR="007D144F">
        <w:t>Сыченко</w:t>
      </w:r>
      <w:proofErr w:type="spellEnd"/>
      <w:r w:rsidR="007D144F">
        <w:t xml:space="preserve">, М. Е. </w:t>
      </w:r>
      <w:proofErr w:type="spellStart"/>
      <w:r w:rsidR="007D144F">
        <w:t>Павличенко</w:t>
      </w:r>
      <w:proofErr w:type="spellEnd"/>
      <w:r w:rsidR="007D144F">
        <w:t>, С. В. Арпуль, А. А. Данилов // Вісник національного технічного університету «ХПІ». Секція: Електричні машини та електромеханічне перетворення енергії. – 2019. № 20 (1345). – С. 110-115</w:t>
      </w:r>
      <w:r w:rsidR="00A95D21">
        <w:rPr>
          <w:lang w:val="ru-RU"/>
        </w:rPr>
        <w:t xml:space="preserve"> </w:t>
      </w:r>
      <w:r w:rsidR="00A95D21" w:rsidRPr="00A37309">
        <w:t>(фахове видання)</w:t>
      </w:r>
      <w:r w:rsidR="007D144F">
        <w:t>;</w:t>
      </w:r>
    </w:p>
    <w:p w14:paraId="542D1D91" w14:textId="7F68170F" w:rsidR="007D144F" w:rsidRDefault="007D144F" w:rsidP="00A90C5A">
      <w:pPr>
        <w:pStyle w:val="3"/>
      </w:pPr>
      <w:r>
        <w:t>«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>» (</w:t>
      </w:r>
      <w:proofErr w:type="spellStart"/>
      <w:r>
        <w:t>англ</w:t>
      </w:r>
      <w:proofErr w:type="spellEnd"/>
      <w:r>
        <w:t>). /</w:t>
      </w:r>
      <w:proofErr w:type="spellStart"/>
      <w:r>
        <w:t>Serhii</w:t>
      </w:r>
      <w:proofErr w:type="spellEnd"/>
      <w:r>
        <w:t xml:space="preserve"> </w:t>
      </w:r>
      <w:proofErr w:type="spellStart"/>
      <w:r>
        <w:t>Arpul</w:t>
      </w:r>
      <w:proofErr w:type="spellEnd"/>
      <w:r>
        <w:t xml:space="preserve">, </w:t>
      </w:r>
      <w:proofErr w:type="spellStart"/>
      <w:r>
        <w:t>Viktor</w:t>
      </w:r>
      <w:proofErr w:type="spellEnd"/>
      <w:r>
        <w:t xml:space="preserve"> </w:t>
      </w:r>
      <w:proofErr w:type="spellStart"/>
      <w:r>
        <w:t>Artemchuk</w:t>
      </w:r>
      <w:proofErr w:type="spellEnd"/>
      <w:r>
        <w:t xml:space="preserve">, </w:t>
      </w:r>
      <w:proofErr w:type="spellStart"/>
      <w:r>
        <w:t>Mykola</w:t>
      </w:r>
      <w:proofErr w:type="spellEnd"/>
      <w:r>
        <w:t xml:space="preserve"> </w:t>
      </w:r>
      <w:proofErr w:type="spellStart"/>
      <w:r>
        <w:t>Babyak</w:t>
      </w:r>
      <w:proofErr w:type="spellEnd"/>
      <w:r>
        <w:t xml:space="preserve">, </w:t>
      </w:r>
      <w:proofErr w:type="spellStart"/>
      <w:r>
        <w:t>Viacheslav</w:t>
      </w:r>
      <w:proofErr w:type="spellEnd"/>
      <w:r>
        <w:t xml:space="preserve"> </w:t>
      </w:r>
      <w:proofErr w:type="spellStart"/>
      <w:r>
        <w:t>Vasilyev</w:t>
      </w:r>
      <w:proofErr w:type="spellEnd"/>
      <w:r>
        <w:t xml:space="preserve">, </w:t>
      </w:r>
      <w:proofErr w:type="spellStart"/>
      <w:r>
        <w:t>Hennadii</w:t>
      </w:r>
      <w:proofErr w:type="spellEnd"/>
      <w:r>
        <w:t xml:space="preserve"> </w:t>
      </w:r>
      <w:proofErr w:type="spellStart"/>
      <w:r>
        <w:t>Hetman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Serhii</w:t>
      </w:r>
      <w:proofErr w:type="spellEnd"/>
      <w:r>
        <w:t xml:space="preserve"> </w:t>
      </w:r>
      <w:proofErr w:type="spellStart"/>
      <w:r>
        <w:t>Marikutsa</w:t>
      </w:r>
      <w:proofErr w:type="spellEnd"/>
      <w:r>
        <w:t xml:space="preserve">//MATEC </w:t>
      </w:r>
      <w:proofErr w:type="spellStart"/>
      <w:r>
        <w:t>Web</w:t>
      </w:r>
      <w:proofErr w:type="spellEnd"/>
      <w:r>
        <w:t xml:space="preserve"> </w:t>
      </w:r>
      <w:proofErr w:type="spellStart"/>
      <w:r>
        <w:t>Conf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294, 2019. 2nd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“Energy-Optimal Technologies, </w:t>
      </w:r>
      <w:proofErr w:type="spellStart"/>
      <w:r>
        <w:t>Logistic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” (EOT-2019). </w:t>
      </w:r>
      <w:proofErr w:type="spellStart"/>
      <w:r>
        <w:t>Section</w:t>
      </w:r>
      <w:proofErr w:type="spellEnd"/>
      <w:r>
        <w:t xml:space="preserve">: Energy-Optimized Technologies,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DOI: </w:t>
      </w:r>
      <w:hyperlink r:id="rId6" w:history="1">
        <w:r w:rsidRPr="00B5794C">
          <w:rPr>
            <w:rStyle w:val="a7"/>
          </w:rPr>
          <w:t>https://doi.org/10.1051/matecconf/201929401001</w:t>
        </w:r>
      </w:hyperlink>
      <w:r>
        <w:t xml:space="preserve"> MATEC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294, 01001 (2019)</w:t>
      </w:r>
      <w:r w:rsidR="00A95D21" w:rsidRPr="00A95D21">
        <w:rPr>
          <w:lang w:val="en-US"/>
        </w:rPr>
        <w:t xml:space="preserve"> </w:t>
      </w:r>
      <w:r w:rsidR="00A95D21" w:rsidRPr="00A37309">
        <w:rPr>
          <w:lang w:val="en-US"/>
        </w:rPr>
        <w:t>(</w:t>
      </w:r>
      <w:r w:rsidR="00A95D21" w:rsidRPr="00A37309">
        <w:t>Індексується</w:t>
      </w:r>
      <w:r w:rsidR="00A95D21" w:rsidRPr="00A37309">
        <w:rPr>
          <w:lang w:val="en-US"/>
        </w:rPr>
        <w:t xml:space="preserve"> </w:t>
      </w:r>
      <w:r w:rsidR="00A95D21" w:rsidRPr="00A37309">
        <w:t>у</w:t>
      </w:r>
      <w:r w:rsidR="00A95D21" w:rsidRPr="00A37309">
        <w:rPr>
          <w:lang w:val="en-US"/>
        </w:rPr>
        <w:t xml:space="preserve"> </w:t>
      </w:r>
      <w:proofErr w:type="spellStart"/>
      <w:r w:rsidR="00A95D21" w:rsidRPr="00A37309">
        <w:rPr>
          <w:shd w:val="clear" w:color="auto" w:fill="FFFFFF"/>
          <w:lang w:val="en-US" w:eastAsia="uk-UA"/>
        </w:rPr>
        <w:t>WoS</w:t>
      </w:r>
      <w:proofErr w:type="spellEnd"/>
      <w:r w:rsidR="00A95D21" w:rsidRPr="00A37309">
        <w:rPr>
          <w:lang w:val="en-US"/>
        </w:rPr>
        <w:t>)</w:t>
      </w:r>
      <w:r>
        <w:t>;</w:t>
      </w:r>
    </w:p>
    <w:p w14:paraId="61D429F3" w14:textId="3DCD29B2" w:rsidR="007D144F" w:rsidRDefault="007D144F" w:rsidP="007D144F">
      <w:pPr>
        <w:pStyle w:val="3"/>
      </w:pPr>
      <w:r>
        <w:t xml:space="preserve">Energy-efficient </w:t>
      </w:r>
      <w:proofErr w:type="spellStart"/>
      <w:r>
        <w:t>and</w:t>
      </w:r>
      <w:proofErr w:type="spellEnd"/>
      <w:r>
        <w:t xml:space="preserve"> cost-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driving</w:t>
      </w:r>
      <w:proofErr w:type="spellEnd"/>
      <w:r>
        <w:t xml:space="preserve"> </w:t>
      </w:r>
      <w:proofErr w:type="spellStart"/>
      <w:r>
        <w:t>trains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/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Pshinko</w:t>
      </w:r>
      <w:proofErr w:type="spellEnd"/>
      <w:r>
        <w:t xml:space="preserve">, </w:t>
      </w:r>
      <w:proofErr w:type="spellStart"/>
      <w:r>
        <w:t>Andrii</w:t>
      </w:r>
      <w:proofErr w:type="spellEnd"/>
      <w:r>
        <w:t xml:space="preserve"> </w:t>
      </w:r>
      <w:proofErr w:type="spellStart"/>
      <w:r>
        <w:t>Afanasov</w:t>
      </w:r>
      <w:proofErr w:type="spellEnd"/>
      <w:r>
        <w:t xml:space="preserve">, </w:t>
      </w:r>
      <w:proofErr w:type="spellStart"/>
      <w:r>
        <w:t>Valeriy</w:t>
      </w:r>
      <w:proofErr w:type="spellEnd"/>
      <w:r>
        <w:t xml:space="preserve"> </w:t>
      </w:r>
      <w:proofErr w:type="spellStart"/>
      <w:r>
        <w:t>Kuznetsov</w:t>
      </w:r>
      <w:proofErr w:type="spellEnd"/>
      <w:r>
        <w:t xml:space="preserve">, </w:t>
      </w:r>
      <w:proofErr w:type="spellStart"/>
      <w:r>
        <w:t>Vladislav</w:t>
      </w:r>
      <w:proofErr w:type="spellEnd"/>
      <w:r>
        <w:t xml:space="preserve"> </w:t>
      </w:r>
      <w:proofErr w:type="spellStart"/>
      <w:r>
        <w:t>Skalozub</w:t>
      </w:r>
      <w:proofErr w:type="spellEnd"/>
      <w:r>
        <w:t xml:space="preserve">, </w:t>
      </w:r>
      <w:proofErr w:type="spellStart"/>
      <w:r>
        <w:t>Sergiy</w:t>
      </w:r>
      <w:proofErr w:type="spellEnd"/>
      <w:r>
        <w:t xml:space="preserve"> </w:t>
      </w:r>
      <w:proofErr w:type="spellStart"/>
      <w:r>
        <w:t>Arpul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Alexander</w:t>
      </w:r>
      <w:proofErr w:type="spellEnd"/>
      <w:r>
        <w:t xml:space="preserve"> </w:t>
      </w:r>
      <w:proofErr w:type="spellStart"/>
      <w:r>
        <w:t>Ivanov</w:t>
      </w:r>
      <w:proofErr w:type="spellEnd"/>
      <w:r>
        <w:t xml:space="preserve"> // MATEC </w:t>
      </w:r>
      <w:proofErr w:type="spellStart"/>
      <w:r>
        <w:t>Web</w:t>
      </w:r>
      <w:proofErr w:type="spellEnd"/>
      <w:r>
        <w:t xml:space="preserve"> </w:t>
      </w:r>
      <w:proofErr w:type="spellStart"/>
      <w:r>
        <w:t>Conf</w:t>
      </w:r>
      <w:proofErr w:type="spellEnd"/>
      <w:r>
        <w:t xml:space="preserve">., 294 (2019) 01004.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: 16 </w:t>
      </w:r>
      <w:proofErr w:type="spellStart"/>
      <w:r>
        <w:t>October</w:t>
      </w:r>
      <w:proofErr w:type="spellEnd"/>
      <w:r>
        <w:t xml:space="preserve"> 2019. DOI: </w:t>
      </w:r>
      <w:hyperlink r:id="rId7" w:history="1">
        <w:r w:rsidRPr="00B5794C">
          <w:rPr>
            <w:rStyle w:val="a7"/>
          </w:rPr>
          <w:t>https://doi.org/10.1051/matecconf/201929401004</w:t>
        </w:r>
      </w:hyperlink>
      <w:r w:rsidR="00A95D21" w:rsidRPr="00A95D21">
        <w:rPr>
          <w:rStyle w:val="a7"/>
          <w:lang w:val="en-US"/>
        </w:rPr>
        <w:t xml:space="preserve"> </w:t>
      </w:r>
      <w:r w:rsidR="00A95D21" w:rsidRPr="00A37309">
        <w:rPr>
          <w:lang w:val="en-US"/>
        </w:rPr>
        <w:t>(</w:t>
      </w:r>
      <w:r w:rsidR="00A95D21" w:rsidRPr="00A37309">
        <w:t>Індексується</w:t>
      </w:r>
      <w:r w:rsidR="00A95D21" w:rsidRPr="00A37309">
        <w:rPr>
          <w:lang w:val="en-US"/>
        </w:rPr>
        <w:t xml:space="preserve"> </w:t>
      </w:r>
      <w:r w:rsidR="00A95D21" w:rsidRPr="00A37309">
        <w:t>у</w:t>
      </w:r>
      <w:r w:rsidR="00A95D21" w:rsidRPr="00A37309">
        <w:rPr>
          <w:lang w:val="en-US"/>
        </w:rPr>
        <w:t xml:space="preserve"> </w:t>
      </w:r>
      <w:proofErr w:type="spellStart"/>
      <w:r w:rsidR="00A95D21" w:rsidRPr="00A37309">
        <w:rPr>
          <w:shd w:val="clear" w:color="auto" w:fill="FFFFFF"/>
          <w:lang w:val="en-US" w:eastAsia="uk-UA"/>
        </w:rPr>
        <w:t>WoS</w:t>
      </w:r>
      <w:proofErr w:type="spellEnd"/>
      <w:r w:rsidR="00A95D21" w:rsidRPr="00A37309">
        <w:rPr>
          <w:lang w:val="en-US"/>
        </w:rPr>
        <w:t>)</w:t>
      </w:r>
      <w:r>
        <w:t>;</w:t>
      </w:r>
    </w:p>
    <w:p w14:paraId="3001480C" w14:textId="28942B26" w:rsidR="007D144F" w:rsidRDefault="007D144F" w:rsidP="007D144F">
      <w:pPr>
        <w:pStyle w:val="3"/>
      </w:pPr>
      <w:r>
        <w:t xml:space="preserve">A.M. </w:t>
      </w:r>
      <w:proofErr w:type="spellStart"/>
      <w:r>
        <w:t>Afanasov</w:t>
      </w:r>
      <w:proofErr w:type="spellEnd"/>
      <w:r>
        <w:t xml:space="preserve">, O.S. </w:t>
      </w:r>
      <w:proofErr w:type="spellStart"/>
      <w:r>
        <w:t>Shapovalov</w:t>
      </w:r>
      <w:proofErr w:type="spellEnd"/>
      <w:r>
        <w:t xml:space="preserve">, S.N. </w:t>
      </w:r>
      <w:proofErr w:type="spellStart"/>
      <w:r>
        <w:t>Holik</w:t>
      </w:r>
      <w:proofErr w:type="spellEnd"/>
      <w:r>
        <w:t xml:space="preserve">, S.V. </w:t>
      </w:r>
      <w:proofErr w:type="spellStart"/>
      <w:r>
        <w:t>Arpul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D.S. </w:t>
      </w:r>
      <w:proofErr w:type="spellStart"/>
      <w:r>
        <w:t>Bilukhin</w:t>
      </w:r>
      <w:proofErr w:type="spellEnd"/>
      <w:r>
        <w:t xml:space="preserve">, 2020,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traction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 xml:space="preserve">, IOP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: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Volume</w:t>
      </w:r>
      <w:proofErr w:type="spellEnd"/>
      <w:r>
        <w:t xml:space="preserve"> 985, </w:t>
      </w:r>
      <w:proofErr w:type="spellStart"/>
      <w:r>
        <w:t>Number</w:t>
      </w:r>
      <w:proofErr w:type="spellEnd"/>
      <w:r>
        <w:t xml:space="preserve"> 1, 012026</w:t>
      </w:r>
      <w:r w:rsidR="00A95D21" w:rsidRPr="00A95D21">
        <w:rPr>
          <w:lang w:val="en-US"/>
        </w:rPr>
        <w:t xml:space="preserve"> </w:t>
      </w:r>
      <w:r w:rsidR="00A95D21" w:rsidRPr="00A37309">
        <w:rPr>
          <w:lang w:val="en-US"/>
        </w:rPr>
        <w:t>(</w:t>
      </w:r>
      <w:r w:rsidR="00A95D21" w:rsidRPr="00A37309">
        <w:t>Індексується</w:t>
      </w:r>
      <w:r w:rsidR="00A95D21" w:rsidRPr="00A37309">
        <w:rPr>
          <w:lang w:val="en-US"/>
        </w:rPr>
        <w:t xml:space="preserve"> </w:t>
      </w:r>
      <w:r w:rsidR="00A95D21" w:rsidRPr="00A37309">
        <w:t>у</w:t>
      </w:r>
      <w:r w:rsidR="00A95D21" w:rsidRPr="00A37309">
        <w:rPr>
          <w:lang w:val="en-US"/>
        </w:rPr>
        <w:t xml:space="preserve"> Scopus)</w:t>
      </w:r>
      <w:r>
        <w:t>;</w:t>
      </w:r>
    </w:p>
    <w:p w14:paraId="17064D03" w14:textId="787C44E0" w:rsidR="007D144F" w:rsidRDefault="007D144F" w:rsidP="007D144F">
      <w:pPr>
        <w:pStyle w:val="3"/>
      </w:pPr>
      <w:proofErr w:type="spellStart"/>
      <w:r>
        <w:t>Афанасов</w:t>
      </w:r>
      <w:proofErr w:type="spellEnd"/>
      <w:r>
        <w:t xml:space="preserve"> А. М., Арпуль С. В., </w:t>
      </w:r>
      <w:proofErr w:type="spellStart"/>
      <w:r>
        <w:t>Білухін</w:t>
      </w:r>
      <w:proofErr w:type="spellEnd"/>
      <w:r>
        <w:t xml:space="preserve"> Д. С., </w:t>
      </w:r>
      <w:proofErr w:type="spellStart"/>
      <w:r>
        <w:t>Шемет</w:t>
      </w:r>
      <w:proofErr w:type="spellEnd"/>
      <w:r>
        <w:t xml:space="preserve"> А. Я., Васильєв В. Є., </w:t>
      </w:r>
      <w:proofErr w:type="spellStart"/>
      <w:r>
        <w:t>Гололобова</w:t>
      </w:r>
      <w:proofErr w:type="spellEnd"/>
      <w:r>
        <w:t xml:space="preserve"> О. О., </w:t>
      </w:r>
      <w:proofErr w:type="spellStart"/>
      <w:r>
        <w:t>Маркуль</w:t>
      </w:r>
      <w:proofErr w:type="spellEnd"/>
      <w:r>
        <w:t xml:space="preserve"> Р. В. Використання глибокого послаблення збудження для тягових двигунів магістральних електровозів // Наука та прогрес транспорту. Вісник Дніпропетровського національного університету залізничного транспорту, 2021, № 6 (96) С. 84-94</w:t>
      </w:r>
      <w:r w:rsidR="00A95D21">
        <w:rPr>
          <w:lang w:val="ru-RU"/>
        </w:rPr>
        <w:t xml:space="preserve"> </w:t>
      </w:r>
      <w:r w:rsidR="00A95D21" w:rsidRPr="00A37309">
        <w:t>(фахове видання)</w:t>
      </w:r>
      <w:r>
        <w:t>;</w:t>
      </w:r>
    </w:p>
    <w:p w14:paraId="30ABFCB1" w14:textId="79B4E0C9" w:rsidR="007D144F" w:rsidRDefault="007D144F" w:rsidP="007D144F">
      <w:pPr>
        <w:pStyle w:val="3"/>
      </w:pPr>
      <w:proofErr w:type="spellStart"/>
      <w:r>
        <w:t>Афанасов</w:t>
      </w:r>
      <w:proofErr w:type="spellEnd"/>
      <w:r>
        <w:t xml:space="preserve"> А. М., </w:t>
      </w:r>
      <w:proofErr w:type="spellStart"/>
      <w:r>
        <w:t>Линник</w:t>
      </w:r>
      <w:proofErr w:type="spellEnd"/>
      <w:r>
        <w:t xml:space="preserve"> Д. І., Арпуль С. В., </w:t>
      </w:r>
      <w:proofErr w:type="spellStart"/>
      <w:r>
        <w:t>Білухін</w:t>
      </w:r>
      <w:proofErr w:type="spellEnd"/>
      <w:r>
        <w:t xml:space="preserve"> Д. С., Васильєв В. Є. Перспективи використання автономних електропоїздів з бортовими накопичувачами електроенергії. Транспортні системи та технології перевезень. Дніпро, 2022. Вип. 23. С. 46–51. DOI: 10.15802/tstt2022/261652</w:t>
      </w:r>
      <w:r w:rsidR="00A95D21">
        <w:rPr>
          <w:lang w:val="ru-RU"/>
        </w:rPr>
        <w:t xml:space="preserve"> </w:t>
      </w:r>
      <w:r w:rsidR="00A95D21" w:rsidRPr="00A37309">
        <w:t>(фахове видання)</w:t>
      </w:r>
      <w:r>
        <w:t>;</w:t>
      </w:r>
    </w:p>
    <w:p w14:paraId="0AB4C6E9" w14:textId="47A33CF5" w:rsidR="007F700A" w:rsidRDefault="007F700A" w:rsidP="007F700A">
      <w:pPr>
        <w:pStyle w:val="3"/>
      </w:pPr>
      <w:r>
        <w:t xml:space="preserve">Арпуль, С. В., </w:t>
      </w:r>
      <w:proofErr w:type="spellStart"/>
      <w:r>
        <w:t>Афанасов</w:t>
      </w:r>
      <w:proofErr w:type="spellEnd"/>
      <w:r>
        <w:t xml:space="preserve">, А. М., </w:t>
      </w:r>
      <w:proofErr w:type="spellStart"/>
      <w:r>
        <w:t>Білухін</w:t>
      </w:r>
      <w:proofErr w:type="spellEnd"/>
      <w:r>
        <w:t xml:space="preserve">, Д. С., Васильєв, В. Є., Шаповалов, О. С., &amp; Буряк, С. Ю. (2022). Визначення раціонального режиму взаємного навантаження тягових двигунів магістральних електровозів. Наука та прогрес транспорту, (1(97), 13–22. </w:t>
      </w:r>
      <w:hyperlink r:id="rId8" w:history="1">
        <w:r w:rsidR="00A95D21" w:rsidRPr="00AE116C">
          <w:rPr>
            <w:rStyle w:val="a7"/>
          </w:rPr>
          <w:t>https://doi.org/10.15802/stp2022/265370</w:t>
        </w:r>
      </w:hyperlink>
      <w:r w:rsidR="00A95D21">
        <w:rPr>
          <w:lang w:val="ru-RU"/>
        </w:rPr>
        <w:t xml:space="preserve"> </w:t>
      </w:r>
      <w:r w:rsidR="00A95D21" w:rsidRPr="00A37309">
        <w:t>(фахове видання)</w:t>
      </w:r>
      <w:r w:rsidR="00A95D21">
        <w:rPr>
          <w:lang w:val="ru-RU"/>
        </w:rPr>
        <w:t>;</w:t>
      </w:r>
    </w:p>
    <w:p w14:paraId="032F102D" w14:textId="1FD136C5" w:rsidR="007F700A" w:rsidRPr="00F36409" w:rsidRDefault="007F700A" w:rsidP="001D6D16">
      <w:pPr>
        <w:pStyle w:val="3"/>
      </w:pPr>
      <w:proofErr w:type="spellStart"/>
      <w:r>
        <w:t>Афанасов</w:t>
      </w:r>
      <w:proofErr w:type="spellEnd"/>
      <w:r>
        <w:t xml:space="preserve">, А. М., Арпуль, С. В., Васильєв, В. Є., </w:t>
      </w:r>
      <w:proofErr w:type="spellStart"/>
      <w:r>
        <w:t>Гололобова</w:t>
      </w:r>
      <w:proofErr w:type="spellEnd"/>
      <w:r>
        <w:t xml:space="preserve">, О. О., &amp; </w:t>
      </w:r>
      <w:proofErr w:type="spellStart"/>
      <w:r>
        <w:t>Голік</w:t>
      </w:r>
      <w:proofErr w:type="spellEnd"/>
      <w:r>
        <w:t xml:space="preserve">, С. М. (2022). Автоматизовані системи керування взаємним навантаженням тягових електромашин. Наука та прогрес транспорту, (1(97), 50–58. </w:t>
      </w:r>
      <w:hyperlink r:id="rId9" w:history="1">
        <w:r w:rsidR="00A95D21" w:rsidRPr="00AE116C">
          <w:rPr>
            <w:rStyle w:val="a7"/>
          </w:rPr>
          <w:t>https://doi.org/10.15802/stp2022/265336</w:t>
        </w:r>
      </w:hyperlink>
      <w:r w:rsidR="00A95D21">
        <w:rPr>
          <w:lang w:val="ru-RU"/>
        </w:rPr>
        <w:t xml:space="preserve"> </w:t>
      </w:r>
      <w:r w:rsidR="00A95D21" w:rsidRPr="00A37309">
        <w:t>(фахове видання)</w:t>
      </w:r>
      <w:r w:rsidR="00A95D21">
        <w:rPr>
          <w:lang w:val="ru-RU"/>
        </w:rPr>
        <w:t>.</w:t>
      </w:r>
    </w:p>
    <w:p w14:paraId="0C7867B6" w14:textId="77777777" w:rsidR="00F36409" w:rsidRDefault="00F36409" w:rsidP="00F36409">
      <w:pPr>
        <w:pStyle w:val="3"/>
        <w:numPr>
          <w:ilvl w:val="0"/>
          <w:numId w:val="0"/>
        </w:numPr>
        <w:rPr>
          <w:lang w:val="ru-RU"/>
        </w:rPr>
      </w:pPr>
    </w:p>
    <w:p w14:paraId="391CD2D8" w14:textId="77777777" w:rsidR="00F36409" w:rsidRDefault="00F36409" w:rsidP="00F36409">
      <w:pPr>
        <w:pStyle w:val="3"/>
        <w:numPr>
          <w:ilvl w:val="0"/>
          <w:numId w:val="0"/>
        </w:numPr>
        <w:rPr>
          <w:lang w:val="ru-RU"/>
        </w:rPr>
      </w:pPr>
    </w:p>
    <w:p w14:paraId="21D184B5" w14:textId="77777777" w:rsidR="00F36409" w:rsidRDefault="00F36409" w:rsidP="00F36409">
      <w:pPr>
        <w:pStyle w:val="3"/>
        <w:numPr>
          <w:ilvl w:val="0"/>
          <w:numId w:val="0"/>
        </w:numPr>
        <w:rPr>
          <w:lang w:val="ru-RU"/>
        </w:rPr>
      </w:pPr>
    </w:p>
    <w:p w14:paraId="7DDCDE3B" w14:textId="77777777" w:rsidR="00F36409" w:rsidRDefault="00F36409" w:rsidP="00F36409">
      <w:pPr>
        <w:pStyle w:val="3"/>
        <w:numPr>
          <w:ilvl w:val="0"/>
          <w:numId w:val="0"/>
        </w:numPr>
        <w:rPr>
          <w:lang w:val="ru-RU"/>
        </w:rPr>
      </w:pPr>
    </w:p>
    <w:p w14:paraId="2B3A5C8C" w14:textId="26EE146C" w:rsidR="00F36409" w:rsidRPr="00F36409" w:rsidRDefault="00F36409" w:rsidP="00F36409">
      <w:pPr>
        <w:ind w:firstLine="284"/>
        <w:rPr>
          <w:b/>
          <w:szCs w:val="28"/>
          <w:lang w:val="ru-RU"/>
        </w:rPr>
      </w:pPr>
      <w:r w:rsidRPr="00DC5AFF">
        <w:rPr>
          <w:b/>
          <w:szCs w:val="28"/>
        </w:rPr>
        <w:lastRenderedPageBreak/>
        <w:t>8</w:t>
      </w:r>
      <w:r w:rsidRPr="0005609B">
        <w:rPr>
          <w:b/>
          <w:szCs w:val="28"/>
        </w:rPr>
        <w:t xml:space="preserve">. </w:t>
      </w:r>
      <w:r>
        <w:rPr>
          <w:b/>
          <w:szCs w:val="28"/>
        </w:rPr>
        <w:t>Підвищення кваліфікації</w:t>
      </w:r>
      <w:r w:rsidRPr="0005609B">
        <w:rPr>
          <w:b/>
          <w:szCs w:val="28"/>
        </w:rPr>
        <w:t>:</w:t>
      </w:r>
    </w:p>
    <w:p w14:paraId="31B985B5" w14:textId="64562B58" w:rsidR="00F36409" w:rsidRPr="00894C8D" w:rsidRDefault="00F36409" w:rsidP="00F36409">
      <w:pPr>
        <w:pStyle w:val="a4"/>
        <w:numPr>
          <w:ilvl w:val="0"/>
          <w:numId w:val="20"/>
        </w:numPr>
        <w:ind w:left="0" w:firstLine="0"/>
        <w:rPr>
          <w:szCs w:val="28"/>
        </w:rPr>
      </w:pPr>
      <w:r w:rsidRPr="00F36409">
        <w:rPr>
          <w:szCs w:val="28"/>
        </w:rPr>
        <w:t>НТУ "Дніпровська політехніка", кафедра електропривода, наказ № 792-к від 01.12.2021, довідка про підсумки підвищення кваліфікації (стажування), теми: Ознайомлення з організацією та методиками, що застосовуються під час викладання дисциплін "Силові перетворювачі автоматизованих електроприводів", "Автоматизація загальнопромислових установок і технологічних комплексів", "Мікропроцесорні системи керування та захисту", "</w:t>
      </w:r>
      <w:proofErr w:type="spellStart"/>
      <w:r w:rsidRPr="00F36409">
        <w:rPr>
          <w:szCs w:val="28"/>
        </w:rPr>
        <w:t>Схемотехнічне</w:t>
      </w:r>
      <w:proofErr w:type="spellEnd"/>
      <w:r w:rsidRPr="00F36409">
        <w:rPr>
          <w:szCs w:val="28"/>
        </w:rPr>
        <w:t xml:space="preserve"> проектування в електромеханіці", період 06.12.2021 - 23.01.2022, 180 годин (6 кредитів ЄКТС)</w:t>
      </w:r>
      <w:r w:rsidR="00E231EF">
        <w:rPr>
          <w:szCs w:val="28"/>
        </w:rPr>
        <w:t>;</w:t>
      </w:r>
      <w:bookmarkStart w:id="0" w:name="_GoBack"/>
      <w:bookmarkEnd w:id="0"/>
    </w:p>
    <w:p w14:paraId="6CD2DA48" w14:textId="77777777" w:rsidR="00894C8D" w:rsidRPr="00894C8D" w:rsidRDefault="00894C8D" w:rsidP="00894C8D">
      <w:pPr>
        <w:pStyle w:val="a4"/>
        <w:numPr>
          <w:ilvl w:val="0"/>
          <w:numId w:val="21"/>
        </w:numPr>
        <w:shd w:val="clear" w:color="auto" w:fill="FFFFFF" w:themeFill="background1"/>
        <w:ind w:left="0" w:firstLine="0"/>
        <w:rPr>
          <w:szCs w:val="28"/>
        </w:rPr>
      </w:pPr>
      <w:r w:rsidRPr="00894C8D">
        <w:rPr>
          <w:szCs w:val="28"/>
        </w:rPr>
        <w:t xml:space="preserve">Гетьман, Г. К. Вибір раціональних параметрів номінального режиму пасажирських електровозів: Монографія колективу авторів / Г. К. Гетьман, С. В. </w:t>
      </w:r>
      <w:proofErr w:type="spellStart"/>
      <w:r w:rsidRPr="00894C8D">
        <w:rPr>
          <w:szCs w:val="28"/>
        </w:rPr>
        <w:t>Арпуль</w:t>
      </w:r>
      <w:proofErr w:type="spellEnd"/>
      <w:r w:rsidRPr="00894C8D">
        <w:rPr>
          <w:szCs w:val="28"/>
        </w:rPr>
        <w:t xml:space="preserve">, В. Є. Васильєв, С. М. </w:t>
      </w:r>
      <w:proofErr w:type="spellStart"/>
      <w:r w:rsidRPr="00894C8D">
        <w:rPr>
          <w:szCs w:val="28"/>
        </w:rPr>
        <w:t>Голік</w:t>
      </w:r>
      <w:proofErr w:type="spellEnd"/>
      <w:r w:rsidRPr="00894C8D">
        <w:rPr>
          <w:szCs w:val="28"/>
        </w:rPr>
        <w:t xml:space="preserve"> – Д.: Вид-во ТОВ підприємство «</w:t>
      </w:r>
      <w:proofErr w:type="spellStart"/>
      <w:r w:rsidRPr="00894C8D">
        <w:rPr>
          <w:szCs w:val="28"/>
        </w:rPr>
        <w:t>Дріант</w:t>
      </w:r>
      <w:proofErr w:type="spellEnd"/>
      <w:r w:rsidRPr="00894C8D">
        <w:rPr>
          <w:szCs w:val="28"/>
        </w:rPr>
        <w:t>», 2022. – 181 с. (ISBN 978-966-2394-63-4).</w:t>
      </w:r>
    </w:p>
    <w:p w14:paraId="5A2C33FA" w14:textId="77777777" w:rsidR="00894C8D" w:rsidRPr="00F36409" w:rsidRDefault="00894C8D" w:rsidP="00894C8D">
      <w:pPr>
        <w:pStyle w:val="a4"/>
        <w:ind w:left="0"/>
        <w:rPr>
          <w:szCs w:val="28"/>
        </w:rPr>
      </w:pPr>
    </w:p>
    <w:p w14:paraId="022F62CC" w14:textId="77777777" w:rsidR="00F36409" w:rsidRPr="00894C8D" w:rsidRDefault="00F36409" w:rsidP="00F36409">
      <w:pPr>
        <w:pStyle w:val="3"/>
        <w:numPr>
          <w:ilvl w:val="0"/>
          <w:numId w:val="0"/>
        </w:numPr>
      </w:pPr>
    </w:p>
    <w:p w14:paraId="39BFDFD0" w14:textId="77777777" w:rsidR="00F36409" w:rsidRPr="00894C8D" w:rsidRDefault="00F36409" w:rsidP="00F36409">
      <w:pPr>
        <w:pStyle w:val="3"/>
        <w:numPr>
          <w:ilvl w:val="0"/>
          <w:numId w:val="0"/>
        </w:numPr>
      </w:pPr>
    </w:p>
    <w:sectPr w:rsidR="00F36409" w:rsidRPr="00894C8D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5D"/>
    <w:multiLevelType w:val="hybridMultilevel"/>
    <w:tmpl w:val="97C4B3CC"/>
    <w:lvl w:ilvl="0" w:tplc="CB784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66787"/>
    <w:multiLevelType w:val="hybridMultilevel"/>
    <w:tmpl w:val="5574AD56"/>
    <w:lvl w:ilvl="0" w:tplc="68C497C4">
      <w:numFmt w:val="bullet"/>
      <w:lvlText w:val="−"/>
      <w:lvlJc w:val="left"/>
      <w:pPr>
        <w:ind w:left="502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CDB0355"/>
    <w:multiLevelType w:val="hybridMultilevel"/>
    <w:tmpl w:val="E94C90EA"/>
    <w:lvl w:ilvl="0" w:tplc="08CE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6">
    <w:nsid w:val="33824ADF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997F38"/>
    <w:multiLevelType w:val="hybridMultilevel"/>
    <w:tmpl w:val="D79AE574"/>
    <w:lvl w:ilvl="0" w:tplc="4C5E44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C418C"/>
    <w:multiLevelType w:val="hybridMultilevel"/>
    <w:tmpl w:val="1CE85146"/>
    <w:lvl w:ilvl="0" w:tplc="8592D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26DC4"/>
    <w:multiLevelType w:val="hybridMultilevel"/>
    <w:tmpl w:val="89E6B7E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873200"/>
    <w:multiLevelType w:val="hybridMultilevel"/>
    <w:tmpl w:val="2F06797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9EE9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62AFD"/>
    <w:multiLevelType w:val="hybridMultilevel"/>
    <w:tmpl w:val="F788E63C"/>
    <w:lvl w:ilvl="0" w:tplc="40627FA2">
      <w:start w:val="1"/>
      <w:numFmt w:val="bullet"/>
      <w:pStyle w:val="3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4551C"/>
    <w:multiLevelType w:val="hybridMultilevel"/>
    <w:tmpl w:val="7384F17E"/>
    <w:lvl w:ilvl="0" w:tplc="535EA1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0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3"/>
    <w:rsid w:val="0005609B"/>
    <w:rsid w:val="000A2B3D"/>
    <w:rsid w:val="000A59A6"/>
    <w:rsid w:val="000E4B51"/>
    <w:rsid w:val="00110870"/>
    <w:rsid w:val="0012407F"/>
    <w:rsid w:val="00131CAA"/>
    <w:rsid w:val="00154491"/>
    <w:rsid w:val="001B546E"/>
    <w:rsid w:val="001B5875"/>
    <w:rsid w:val="001B78EE"/>
    <w:rsid w:val="00203EDA"/>
    <w:rsid w:val="00215D22"/>
    <w:rsid w:val="00224DE9"/>
    <w:rsid w:val="00232B14"/>
    <w:rsid w:val="00234C59"/>
    <w:rsid w:val="00260A66"/>
    <w:rsid w:val="0028515F"/>
    <w:rsid w:val="00286C6A"/>
    <w:rsid w:val="002A4942"/>
    <w:rsid w:val="002C6BB0"/>
    <w:rsid w:val="002E3214"/>
    <w:rsid w:val="002E631E"/>
    <w:rsid w:val="002E6D68"/>
    <w:rsid w:val="00331903"/>
    <w:rsid w:val="00383361"/>
    <w:rsid w:val="003D1A20"/>
    <w:rsid w:val="004228AD"/>
    <w:rsid w:val="004272E7"/>
    <w:rsid w:val="004441DA"/>
    <w:rsid w:val="00467FE6"/>
    <w:rsid w:val="004A3F81"/>
    <w:rsid w:val="004B294E"/>
    <w:rsid w:val="004F5B57"/>
    <w:rsid w:val="00510E99"/>
    <w:rsid w:val="00526D16"/>
    <w:rsid w:val="00566D9C"/>
    <w:rsid w:val="00572F76"/>
    <w:rsid w:val="005950CA"/>
    <w:rsid w:val="005A0B3C"/>
    <w:rsid w:val="005D23A7"/>
    <w:rsid w:val="00611F0C"/>
    <w:rsid w:val="0063150D"/>
    <w:rsid w:val="006323A6"/>
    <w:rsid w:val="006B0840"/>
    <w:rsid w:val="007241AD"/>
    <w:rsid w:val="00752062"/>
    <w:rsid w:val="007828BA"/>
    <w:rsid w:val="007D031C"/>
    <w:rsid w:val="007D144F"/>
    <w:rsid w:val="007E744E"/>
    <w:rsid w:val="007F2DAD"/>
    <w:rsid w:val="007F700A"/>
    <w:rsid w:val="00803F8B"/>
    <w:rsid w:val="008125D5"/>
    <w:rsid w:val="00814BB3"/>
    <w:rsid w:val="00836045"/>
    <w:rsid w:val="00890ADC"/>
    <w:rsid w:val="00894C8D"/>
    <w:rsid w:val="008A1E8C"/>
    <w:rsid w:val="008B0B5C"/>
    <w:rsid w:val="008B6F04"/>
    <w:rsid w:val="008C3D94"/>
    <w:rsid w:val="008C4063"/>
    <w:rsid w:val="008D4657"/>
    <w:rsid w:val="009950F8"/>
    <w:rsid w:val="009C186B"/>
    <w:rsid w:val="009E6192"/>
    <w:rsid w:val="00A20C64"/>
    <w:rsid w:val="00A26F45"/>
    <w:rsid w:val="00A429E3"/>
    <w:rsid w:val="00A476B7"/>
    <w:rsid w:val="00A52B6E"/>
    <w:rsid w:val="00A5773E"/>
    <w:rsid w:val="00A95D21"/>
    <w:rsid w:val="00AC6156"/>
    <w:rsid w:val="00B32987"/>
    <w:rsid w:val="00B65107"/>
    <w:rsid w:val="00B65FF6"/>
    <w:rsid w:val="00B72E44"/>
    <w:rsid w:val="00B92F13"/>
    <w:rsid w:val="00BA3F48"/>
    <w:rsid w:val="00BB0543"/>
    <w:rsid w:val="00C47C2D"/>
    <w:rsid w:val="00CB0D26"/>
    <w:rsid w:val="00CC671F"/>
    <w:rsid w:val="00CD0813"/>
    <w:rsid w:val="00CE207D"/>
    <w:rsid w:val="00CF233C"/>
    <w:rsid w:val="00D11E6C"/>
    <w:rsid w:val="00D60E3B"/>
    <w:rsid w:val="00D60F2E"/>
    <w:rsid w:val="00D72BA3"/>
    <w:rsid w:val="00D73097"/>
    <w:rsid w:val="00DB0033"/>
    <w:rsid w:val="00DD4BA9"/>
    <w:rsid w:val="00DE5877"/>
    <w:rsid w:val="00DF1123"/>
    <w:rsid w:val="00DF725C"/>
    <w:rsid w:val="00E22995"/>
    <w:rsid w:val="00E231EF"/>
    <w:rsid w:val="00E578F1"/>
    <w:rsid w:val="00EA1B12"/>
    <w:rsid w:val="00ED2474"/>
    <w:rsid w:val="00F36409"/>
    <w:rsid w:val="00F53FEC"/>
    <w:rsid w:val="00F6235F"/>
    <w:rsid w:val="00F66D2D"/>
    <w:rsid w:val="00FC053B"/>
    <w:rsid w:val="00FC61E3"/>
    <w:rsid w:val="00FD2791"/>
    <w:rsid w:val="00FF58A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4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E"/>
    <w:pPr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</w:pPr>
    <w:rPr>
      <w:rFonts w:eastAsia="Times New Roman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</w:pPr>
    <w:rPr>
      <w:rFonts w:eastAsia="Times New Roman"/>
      <w:szCs w:val="24"/>
      <w:lang w:eastAsia="ru-RU"/>
    </w:rPr>
  </w:style>
  <w:style w:type="paragraph" w:customStyle="1" w:styleId="12">
    <w:name w:val="Стиль1"/>
    <w:basedOn w:val="a"/>
    <w:rsid w:val="002E3214"/>
    <w:pPr>
      <w:spacing w:before="360"/>
      <w:ind w:firstLine="284"/>
    </w:pPr>
    <w:rPr>
      <w:b/>
      <w:szCs w:val="28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E3214"/>
    <w:pPr>
      <w:spacing w:before="120"/>
    </w:pPr>
    <w:rPr>
      <w:bCs/>
    </w:rPr>
  </w:style>
  <w:style w:type="paragraph" w:customStyle="1" w:styleId="3">
    <w:name w:val="Стиль3"/>
    <w:basedOn w:val="a"/>
    <w:qFormat/>
    <w:rsid w:val="001B546E"/>
    <w:pPr>
      <w:numPr>
        <w:numId w:val="13"/>
      </w:numPr>
      <w:ind w:left="0" w:firstLine="0"/>
    </w:pPr>
    <w:rPr>
      <w:szCs w:val="28"/>
    </w:rPr>
  </w:style>
  <w:style w:type="paragraph" w:customStyle="1" w:styleId="0">
    <w:name w:val="Стиль0"/>
    <w:basedOn w:val="a"/>
    <w:qFormat/>
    <w:rsid w:val="001B546E"/>
    <w:pPr>
      <w:spacing w:before="120" w:after="120"/>
      <w:ind w:firstLine="284"/>
      <w:jc w:val="center"/>
    </w:pPr>
    <w:rPr>
      <w:b/>
      <w:szCs w:val="28"/>
    </w:rPr>
  </w:style>
  <w:style w:type="paragraph" w:customStyle="1" w:styleId="01">
    <w:name w:val="Стиль01"/>
    <w:basedOn w:val="a"/>
    <w:qFormat/>
    <w:rsid w:val="001B546E"/>
    <w:pPr>
      <w:ind w:firstLine="284"/>
      <w:jc w:val="center"/>
    </w:pPr>
    <w:rPr>
      <w:szCs w:val="28"/>
    </w:rPr>
  </w:style>
  <w:style w:type="character" w:styleId="a7">
    <w:name w:val="Hyperlink"/>
    <w:basedOn w:val="a0"/>
    <w:uiPriority w:val="99"/>
    <w:unhideWhenUsed/>
    <w:rsid w:val="007D14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4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6E"/>
    <w:pPr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</w:pPr>
    <w:rPr>
      <w:rFonts w:eastAsia="Times New Roman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</w:pPr>
    <w:rPr>
      <w:rFonts w:eastAsia="Times New Roman"/>
      <w:szCs w:val="24"/>
      <w:lang w:eastAsia="ru-RU"/>
    </w:rPr>
  </w:style>
  <w:style w:type="paragraph" w:customStyle="1" w:styleId="12">
    <w:name w:val="Стиль1"/>
    <w:basedOn w:val="a"/>
    <w:rsid w:val="002E3214"/>
    <w:pPr>
      <w:spacing w:before="360"/>
      <w:ind w:firstLine="284"/>
    </w:pPr>
    <w:rPr>
      <w:b/>
      <w:szCs w:val="28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E3214"/>
    <w:pPr>
      <w:spacing w:before="120"/>
    </w:pPr>
    <w:rPr>
      <w:bCs/>
    </w:rPr>
  </w:style>
  <w:style w:type="paragraph" w:customStyle="1" w:styleId="3">
    <w:name w:val="Стиль3"/>
    <w:basedOn w:val="a"/>
    <w:qFormat/>
    <w:rsid w:val="001B546E"/>
    <w:pPr>
      <w:numPr>
        <w:numId w:val="13"/>
      </w:numPr>
      <w:ind w:left="0" w:firstLine="0"/>
    </w:pPr>
    <w:rPr>
      <w:szCs w:val="28"/>
    </w:rPr>
  </w:style>
  <w:style w:type="paragraph" w:customStyle="1" w:styleId="0">
    <w:name w:val="Стиль0"/>
    <w:basedOn w:val="a"/>
    <w:qFormat/>
    <w:rsid w:val="001B546E"/>
    <w:pPr>
      <w:spacing w:before="120" w:after="120"/>
      <w:ind w:firstLine="284"/>
      <w:jc w:val="center"/>
    </w:pPr>
    <w:rPr>
      <w:b/>
      <w:szCs w:val="28"/>
    </w:rPr>
  </w:style>
  <w:style w:type="paragraph" w:customStyle="1" w:styleId="01">
    <w:name w:val="Стиль01"/>
    <w:basedOn w:val="a"/>
    <w:qFormat/>
    <w:rsid w:val="001B546E"/>
    <w:pPr>
      <w:ind w:firstLine="284"/>
      <w:jc w:val="center"/>
    </w:pPr>
    <w:rPr>
      <w:szCs w:val="28"/>
    </w:rPr>
  </w:style>
  <w:style w:type="character" w:styleId="a7">
    <w:name w:val="Hyperlink"/>
    <w:basedOn w:val="a0"/>
    <w:uiPriority w:val="99"/>
    <w:unhideWhenUsed/>
    <w:rsid w:val="007D14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802/stp2022/2653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51/matecconf/201929401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51/matecconf/201929401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5802/stp2022/265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</cp:lastModifiedBy>
  <cp:revision>13</cp:revision>
  <dcterms:created xsi:type="dcterms:W3CDTF">2022-12-07T10:57:00Z</dcterms:created>
  <dcterms:modified xsi:type="dcterms:W3CDTF">2022-12-14T07:37:00Z</dcterms:modified>
</cp:coreProperties>
</file>